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922020</wp:posOffset>
            </wp:positionH>
            <wp:positionV relativeFrom="paragraph">
              <wp:posOffset>64770</wp:posOffset>
            </wp:positionV>
            <wp:extent cx="3915410" cy="810260"/>
            <wp:effectExtent l="0" t="0" r="8890" b="889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4"/>
                    <a:stretch>
                      <a:fillRect/>
                    </a:stretch>
                  </pic:blipFill>
                  <pic:spPr>
                    <a:xfrm>
                      <a:off x="0" y="0"/>
                      <a:ext cx="3915410" cy="810260"/>
                    </a:xfrm>
                    <a:prstGeom prst="rect">
                      <a:avLst/>
                    </a:prstGeom>
                  </pic:spPr>
                </pic:pic>
              </a:graphicData>
            </a:graphic>
          </wp:anchor>
        </w:drawing>
      </w:r>
    </w:p>
    <w:p/>
    <w:p/>
    <w:p/>
    <w:p/>
    <w:p/>
    <w:p/>
    <w:p>
      <w:r>
        <w:rPr>
          <w:sz w:val="21"/>
        </w:rPr>
        <mc:AlternateContent>
          <mc:Choice Requires="wps">
            <w:drawing>
              <wp:anchor distT="0" distB="0" distL="114300" distR="114300" simplePos="0" relativeHeight="251660288" behindDoc="0" locked="0" layoutInCell="1" allowOverlap="1">
                <wp:simplePos x="0" y="0"/>
                <wp:positionH relativeFrom="column">
                  <wp:posOffset>861060</wp:posOffset>
                </wp:positionH>
                <wp:positionV relativeFrom="paragraph">
                  <wp:posOffset>163195</wp:posOffset>
                </wp:positionV>
                <wp:extent cx="4156710" cy="1342390"/>
                <wp:effectExtent l="0" t="0" r="0" b="0"/>
                <wp:wrapNone/>
                <wp:docPr id="1" name="文本框 1"/>
                <wp:cNvGraphicFramePr/>
                <a:graphic xmlns:a="http://schemas.openxmlformats.org/drawingml/2006/main">
                  <a:graphicData uri="http://schemas.microsoft.com/office/word/2010/wordprocessingShape">
                    <wps:wsp>
                      <wps:cNvSpPr txBox="1"/>
                      <wps:spPr>
                        <a:xfrm>
                          <a:off x="1875155" y="2781300"/>
                          <a:ext cx="4156710" cy="1342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z w:val="50"/>
                                <w:szCs w:val="50"/>
                                <w:lang w:val="en-US" w:eastAsia="zh-CN"/>
                              </w:rPr>
                            </w:pPr>
                            <w:r>
                              <w:rPr>
                                <w:rFonts w:hint="eastAsia" w:ascii="黑体" w:hAnsi="黑体" w:eastAsia="黑体" w:cs="黑体"/>
                                <w:sz w:val="50"/>
                                <w:szCs w:val="50"/>
                                <w:lang w:val="en-US" w:eastAsia="zh-CN"/>
                              </w:rPr>
                              <w:t>中餐烹饪专业</w:t>
                            </w:r>
                          </w:p>
                          <w:p>
                            <w:pPr>
                              <w:jc w:val="center"/>
                              <w:rPr>
                                <w:rFonts w:hint="eastAsia" w:ascii="方正公文小标宋" w:hAnsi="方正公文小标宋" w:eastAsia="方正公文小标宋" w:cs="方正公文小标宋"/>
                                <w:sz w:val="66"/>
                                <w:szCs w:val="66"/>
                                <w:lang w:val="en-US" w:eastAsia="zh-CN"/>
                              </w:rPr>
                            </w:pPr>
                            <w:r>
                              <w:rPr>
                                <w:rFonts w:hint="eastAsia" w:ascii="方正公文小标宋" w:hAnsi="方正公文小标宋" w:eastAsia="方正公文小标宋" w:cs="方正公文小标宋"/>
                                <w:sz w:val="66"/>
                                <w:szCs w:val="66"/>
                                <w:lang w:val="en-US" w:eastAsia="zh-CN"/>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8pt;margin-top:12.85pt;height:105.7pt;width:327.3pt;z-index:251660288;mso-width-relative:page;mso-height-relative:page;" filled="f" stroked="f" coordsize="21600,21600" o:gfxdata="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ZJBRS2wAAAAoBAAAPAAAAAAAAAAEAIAAAADgAAABkcnMvZG93bnJldi54bWxQSwECFAAUAAAA&#10;CACHTuJAppOSxEcCAABzBAAADgAAAAAAAAABACAAAABAAQAAZHJzL2Uyb0RvYy54bWxQSwUGAAAA&#10;AAYABgBZAQAA+QUAAAAA&#10;">
                <v:fill on="f" focussize="0,0"/>
                <v:stroke on="f" weight="0.5pt"/>
                <v:imagedata o:title=""/>
                <o:lock v:ext="edit" aspectratio="f"/>
                <v:textbox>
                  <w:txbxContent>
                    <w:p>
                      <w:pPr>
                        <w:jc w:val="center"/>
                        <w:rPr>
                          <w:rFonts w:hint="eastAsia" w:ascii="黑体" w:hAnsi="黑体" w:eastAsia="黑体" w:cs="黑体"/>
                          <w:sz w:val="50"/>
                          <w:szCs w:val="50"/>
                          <w:lang w:val="en-US" w:eastAsia="zh-CN"/>
                        </w:rPr>
                      </w:pPr>
                      <w:r>
                        <w:rPr>
                          <w:rFonts w:hint="eastAsia" w:ascii="黑体" w:hAnsi="黑体" w:eastAsia="黑体" w:cs="黑体"/>
                          <w:sz w:val="50"/>
                          <w:szCs w:val="50"/>
                          <w:lang w:val="en-US" w:eastAsia="zh-CN"/>
                        </w:rPr>
                        <w:t>中餐烹饪专业</w:t>
                      </w:r>
                    </w:p>
                    <w:p>
                      <w:pPr>
                        <w:jc w:val="center"/>
                        <w:rPr>
                          <w:rFonts w:hint="eastAsia" w:ascii="方正公文小标宋" w:hAnsi="方正公文小标宋" w:eastAsia="方正公文小标宋" w:cs="方正公文小标宋"/>
                          <w:sz w:val="66"/>
                          <w:szCs w:val="66"/>
                          <w:lang w:val="en-US" w:eastAsia="zh-CN"/>
                        </w:rPr>
                      </w:pPr>
                      <w:r>
                        <w:rPr>
                          <w:rFonts w:hint="eastAsia" w:ascii="方正公文小标宋" w:hAnsi="方正公文小标宋" w:eastAsia="方正公文小标宋" w:cs="方正公文小标宋"/>
                          <w:sz w:val="66"/>
                          <w:szCs w:val="66"/>
                          <w:lang w:val="en-US" w:eastAsia="zh-CN"/>
                        </w:rPr>
                        <w:t>人才培养方案</w:t>
                      </w:r>
                    </w:p>
                  </w:txbxContent>
                </v:textbox>
              </v:shape>
            </w:pict>
          </mc:Fallback>
        </mc:AlternateContent>
      </w:r>
    </w:p>
    <w:p/>
    <w:p/>
    <w:p/>
    <w:p/>
    <w:p/>
    <w:p/>
    <w:p/>
    <w:tbl>
      <w:tblPr>
        <w:tblStyle w:val="4"/>
        <w:tblpPr w:leftFromText="180" w:rightFromText="180" w:vertAnchor="text" w:horzAnchor="page" w:tblpX="1967" w:tblpY="257"/>
        <w:tblOverlap w:val="never"/>
        <w:tblW w:w="85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3018"/>
        <w:gridCol w:w="1516"/>
        <w:gridCol w:w="2434"/>
      </w:tblGrid>
      <w:tr>
        <w:trPr>
          <w:trHeight w:val="598" w:hRule="atLeast"/>
        </w:trPr>
        <w:tc>
          <w:tcPr>
            <w:tcW w:w="1621"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中职专业</w:t>
            </w:r>
          </w:p>
        </w:tc>
        <w:tc>
          <w:tcPr>
            <w:tcW w:w="3018" w:type="dxa"/>
            <w:noWrap w:val="0"/>
            <w:vAlign w:val="center"/>
          </w:tcPr>
          <w:p>
            <w:pPr>
              <w:jc w:val="center"/>
              <w:rPr>
                <w:rFonts w:hint="default" w:ascii="宋体" w:hAnsi="宋体" w:eastAsia="宋体" w:cs="宋体"/>
                <w:color w:val="000000"/>
                <w:sz w:val="21"/>
                <w:szCs w:val="21"/>
                <w:lang w:val="en-US" w:eastAsia="zh-CN"/>
              </w:rPr>
            </w:pPr>
            <w:r>
              <w:rPr>
                <w:rFonts w:hint="eastAsia" w:ascii="宋体" w:hAnsi="宋体" w:cs="宋体"/>
                <w:b w:val="0"/>
                <w:bCs w:val="0"/>
                <w:iCs/>
                <w:color w:val="auto"/>
                <w:sz w:val="24"/>
                <w:lang w:val="en-US" w:eastAsia="zh-CN"/>
              </w:rPr>
              <w:t>中餐烹饪</w:t>
            </w:r>
          </w:p>
        </w:tc>
        <w:tc>
          <w:tcPr>
            <w:tcW w:w="1516" w:type="dxa"/>
            <w:noWrap w:val="0"/>
            <w:vAlign w:val="center"/>
          </w:tcPr>
          <w:p>
            <w:pPr>
              <w:ind w:firstLine="174" w:firstLineChars="83"/>
              <w:rPr>
                <w:rFonts w:hint="eastAsia" w:ascii="宋体" w:hAnsi="宋体" w:eastAsia="宋体" w:cs="宋体"/>
                <w:b/>
                <w:color w:val="000000"/>
                <w:sz w:val="21"/>
                <w:szCs w:val="21"/>
              </w:rPr>
            </w:pPr>
            <w:r>
              <w:rPr>
                <w:rFonts w:hint="eastAsia" w:ascii="宋体" w:hAnsi="宋体" w:eastAsia="宋体" w:cs="宋体"/>
                <w:b/>
                <w:color w:val="000000"/>
                <w:sz w:val="21"/>
                <w:szCs w:val="21"/>
              </w:rPr>
              <w:t>专业代码</w:t>
            </w:r>
          </w:p>
        </w:tc>
        <w:tc>
          <w:tcPr>
            <w:tcW w:w="2434" w:type="dxa"/>
            <w:noWrap w:val="0"/>
            <w:vAlign w:val="center"/>
          </w:tcPr>
          <w:p>
            <w:pPr>
              <w:spacing w:line="480" w:lineRule="exact"/>
              <w:ind w:firstLine="480" w:firstLineChars="200"/>
              <w:rPr>
                <w:rFonts w:hint="default" w:ascii="宋体" w:hAnsi="宋体" w:eastAsia="宋体" w:cs="宋体"/>
                <w:color w:val="000000"/>
                <w:sz w:val="21"/>
                <w:szCs w:val="21"/>
                <w:lang w:val="en-US" w:eastAsia="zh-CN"/>
              </w:rPr>
            </w:pPr>
            <w:r>
              <w:rPr>
                <w:rFonts w:hint="eastAsia" w:ascii="宋体" w:hAnsi="宋体" w:cs="宋体"/>
                <w:b w:val="0"/>
                <w:bCs w:val="0"/>
                <w:iCs/>
                <w:color w:val="auto"/>
                <w:sz w:val="24"/>
                <w:lang w:val="en-US" w:eastAsia="zh-CN"/>
              </w:rPr>
              <w:t>740201</w:t>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专业建设委员会审核</w:t>
            </w:r>
          </w:p>
        </w:tc>
        <w:tc>
          <w:tcPr>
            <w:tcW w:w="6968" w:type="dxa"/>
            <w:gridSpan w:val="3"/>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校内负责人签字：</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行业、企业负责人签字：</w:t>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r>
              <w:rPr>
                <w:rFonts w:hint="eastAsia" w:ascii="宋体" w:hAnsi="宋体" w:eastAsia="宋体" w:cs="宋体"/>
                <w:b/>
                <w:color w:val="000000"/>
                <w:sz w:val="21"/>
                <w:szCs w:val="21"/>
                <w:lang w:val="en-US" w:eastAsia="zh-CN"/>
              </w:rPr>
              <w:t>系</w:t>
            </w:r>
            <w:r>
              <w:rPr>
                <w:rFonts w:hint="eastAsia" w:ascii="宋体" w:hAnsi="宋体" w:eastAsia="宋体" w:cs="宋体"/>
                <w:b/>
                <w:color w:val="000000"/>
                <w:sz w:val="21"/>
                <w:szCs w:val="21"/>
              </w:rPr>
              <w:t>部</w:t>
            </w:r>
          </w:p>
        </w:tc>
        <w:tc>
          <w:tcPr>
            <w:tcW w:w="301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FF0000"/>
                <w:sz w:val="21"/>
                <w:szCs w:val="21"/>
                <w:lang w:val="en-US" w:eastAsia="zh-CN"/>
              </w:rPr>
              <w:t>XXXX</w:t>
            </w:r>
            <w:r>
              <w:rPr>
                <w:rFonts w:hint="eastAsia" w:ascii="宋体" w:hAnsi="宋体" w:eastAsia="宋体" w:cs="宋体"/>
                <w:color w:val="000000"/>
                <w:sz w:val="21"/>
                <w:szCs w:val="21"/>
              </w:rPr>
              <w:t>部</w:t>
            </w:r>
          </w:p>
        </w:tc>
        <w:tc>
          <w:tcPr>
            <w:tcW w:w="1516"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r>
              <w:rPr>
                <w:rFonts w:hint="eastAsia" w:ascii="宋体" w:hAnsi="宋体" w:eastAsia="宋体" w:cs="宋体"/>
                <w:b/>
                <w:color w:val="000000"/>
                <w:sz w:val="21"/>
                <w:szCs w:val="21"/>
                <w:lang w:val="en-US" w:eastAsia="zh-CN"/>
              </w:rPr>
              <w:t>系</w:t>
            </w:r>
            <w:r>
              <w:rPr>
                <w:rFonts w:hint="eastAsia" w:ascii="宋体" w:hAnsi="宋体" w:eastAsia="宋体" w:cs="宋体"/>
                <w:b/>
                <w:color w:val="000000"/>
                <w:sz w:val="21"/>
                <w:szCs w:val="21"/>
              </w:rPr>
              <w:t>部</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负责人审核</w:t>
            </w:r>
          </w:p>
        </w:tc>
        <w:tc>
          <w:tcPr>
            <w:tcW w:w="2434" w:type="dxa"/>
            <w:noWrap w:val="0"/>
            <w:vAlign w:val="center"/>
          </w:tcPr>
          <w:p>
            <w:pPr>
              <w:ind w:firstLine="420" w:firstLineChars="200"/>
              <w:rPr>
                <w:rFonts w:hint="eastAsia" w:ascii="宋体" w:hAnsi="宋体" w:eastAsia="宋体" w:cs="宋体"/>
                <w:color w:val="000000"/>
                <w:sz w:val="21"/>
                <w:szCs w:val="21"/>
              </w:rPr>
            </w:pPr>
            <w:r>
              <w:drawing>
                <wp:anchor distT="0" distB="0" distL="114300" distR="114300" simplePos="0" relativeHeight="251661312" behindDoc="1" locked="0" layoutInCell="1" allowOverlap="1">
                  <wp:simplePos x="0" y="0"/>
                  <wp:positionH relativeFrom="column">
                    <wp:posOffset>106680</wp:posOffset>
                  </wp:positionH>
                  <wp:positionV relativeFrom="paragraph">
                    <wp:posOffset>401320</wp:posOffset>
                  </wp:positionV>
                  <wp:extent cx="918210" cy="447040"/>
                  <wp:effectExtent l="0" t="0" r="15240" b="1016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lum contrast="66000"/>
                          </a:blip>
                          <a:stretch>
                            <a:fillRect/>
                          </a:stretch>
                        </pic:blipFill>
                        <pic:spPr>
                          <a:xfrm>
                            <a:off x="0" y="0"/>
                            <a:ext cx="918210" cy="447040"/>
                          </a:xfrm>
                          <a:prstGeom prst="rect">
                            <a:avLst/>
                          </a:prstGeom>
                          <a:noFill/>
                          <a:ln>
                            <a:noFill/>
                          </a:ln>
                        </pic:spPr>
                      </pic:pic>
                    </a:graphicData>
                  </a:graphic>
                </wp:anchor>
              </w:drawing>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教务</w:t>
            </w:r>
            <w:r>
              <w:rPr>
                <w:rFonts w:hint="eastAsia" w:ascii="宋体" w:hAnsi="宋体" w:eastAsia="宋体" w:cs="宋体"/>
                <w:b/>
                <w:color w:val="000000"/>
                <w:sz w:val="21"/>
                <w:szCs w:val="21"/>
                <w:lang w:val="en-US" w:eastAsia="zh-CN"/>
              </w:rPr>
              <w:t>科</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负责人审核</w:t>
            </w:r>
          </w:p>
        </w:tc>
        <w:tc>
          <w:tcPr>
            <w:tcW w:w="3018" w:type="dxa"/>
            <w:noWrap w:val="0"/>
            <w:vAlign w:val="top"/>
          </w:tcPr>
          <w:p>
            <w:pPr>
              <w:rPr>
                <w:rFonts w:hint="eastAsia" w:ascii="宋体" w:hAnsi="宋体" w:eastAsia="宋体" w:cs="宋体"/>
                <w:color w:val="000000"/>
                <w:sz w:val="21"/>
                <w:szCs w:val="21"/>
              </w:rPr>
            </w:pPr>
            <w:r>
              <w:drawing>
                <wp:anchor distT="0" distB="0" distL="114300" distR="114300" simplePos="0" relativeHeight="251661312" behindDoc="1" locked="0" layoutInCell="1" allowOverlap="1">
                  <wp:simplePos x="0" y="0"/>
                  <wp:positionH relativeFrom="column">
                    <wp:posOffset>427355</wp:posOffset>
                  </wp:positionH>
                  <wp:positionV relativeFrom="paragraph">
                    <wp:posOffset>-142240</wp:posOffset>
                  </wp:positionV>
                  <wp:extent cx="434340" cy="751205"/>
                  <wp:effectExtent l="0" t="0" r="10795" b="381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lum contrast="66000"/>
                          </a:blip>
                          <a:stretch>
                            <a:fillRect/>
                          </a:stretch>
                        </pic:blipFill>
                        <pic:spPr>
                          <a:xfrm rot="-5400000">
                            <a:off x="0" y="0"/>
                            <a:ext cx="434340" cy="75120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994410</wp:posOffset>
                  </wp:positionH>
                  <wp:positionV relativeFrom="paragraph">
                    <wp:posOffset>302260</wp:posOffset>
                  </wp:positionV>
                  <wp:extent cx="1586865" cy="1469390"/>
                  <wp:effectExtent l="0" t="0" r="13335" b="1651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1586865" cy="1469390"/>
                          </a:xfrm>
                          <a:prstGeom prst="rect">
                            <a:avLst/>
                          </a:prstGeom>
                          <a:noFill/>
                          <a:ln>
                            <a:noFill/>
                          </a:ln>
                        </pic:spPr>
                      </pic:pic>
                    </a:graphicData>
                  </a:graphic>
                </wp:anchor>
              </w:drawing>
            </w:r>
          </w:p>
        </w:tc>
        <w:tc>
          <w:tcPr>
            <w:tcW w:w="1516"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分管副校长</w:t>
            </w:r>
          </w:p>
          <w:p>
            <w:pPr>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审核</w:t>
            </w:r>
          </w:p>
        </w:tc>
        <w:tc>
          <w:tcPr>
            <w:tcW w:w="2434" w:type="dxa"/>
            <w:noWrap w:val="0"/>
            <w:vAlign w:val="top"/>
          </w:tcPr>
          <w:p>
            <w:pPr>
              <w:rPr>
                <w:rFonts w:hint="eastAsia" w:ascii="宋体" w:hAnsi="宋体" w:eastAsia="宋体" w:cs="宋体"/>
                <w:color w:val="000000"/>
                <w:sz w:val="21"/>
                <w:szCs w:val="21"/>
              </w:rPr>
            </w:pPr>
          </w:p>
        </w:tc>
      </w:tr>
      <w:tr>
        <w:trPr>
          <w:trHeight w:val="10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校    长</w:t>
            </w:r>
          </w:p>
        </w:tc>
        <w:tc>
          <w:tcPr>
            <w:tcW w:w="6968" w:type="dxa"/>
            <w:gridSpan w:val="3"/>
            <w:noWrap w:val="0"/>
            <w:vAlign w:val="center"/>
          </w:tcPr>
          <w:p>
            <w:pPr>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w:t>
            </w:r>
            <w:r>
              <w:rPr>
                <w:rFonts w:hint="eastAsia" w:ascii="宋体" w:hAnsi="宋体" w:eastAsia="宋体" w:cs="宋体"/>
                <w:b/>
                <w:bCs/>
                <w:color w:val="000000"/>
                <w:sz w:val="21"/>
                <w:szCs w:val="21"/>
                <w:lang w:val="en-US" w:eastAsia="zh-CN"/>
              </w:rPr>
              <w:t>2021</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月</w:t>
            </w: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rPr>
              <w:t>日专题会议审查，同意提交学校党委会审核。</w:t>
            </w:r>
          </w:p>
          <w:p>
            <w:pPr>
              <w:ind w:firstLine="3570" w:firstLineChars="1700"/>
              <w:textAlignment w:val="baseline"/>
              <w:rPr>
                <w:rFonts w:hint="eastAsia" w:ascii="宋体" w:hAnsi="宋体" w:eastAsia="宋体" w:cs="宋体"/>
                <w:b/>
                <w:bCs/>
                <w:color w:val="000000"/>
                <w:sz w:val="21"/>
                <w:szCs w:val="21"/>
              </w:rPr>
            </w:pPr>
            <w:r>
              <w:drawing>
                <wp:anchor distT="0" distB="0" distL="114300" distR="114300" simplePos="0" relativeHeight="251662336" behindDoc="1" locked="0" layoutInCell="1" allowOverlap="1">
                  <wp:simplePos x="0" y="0"/>
                  <wp:positionH relativeFrom="column">
                    <wp:posOffset>2694305</wp:posOffset>
                  </wp:positionH>
                  <wp:positionV relativeFrom="paragraph">
                    <wp:posOffset>7620</wp:posOffset>
                  </wp:positionV>
                  <wp:extent cx="820420" cy="395605"/>
                  <wp:effectExtent l="0" t="0" r="17780" b="44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820420" cy="395605"/>
                          </a:xfrm>
                          <a:prstGeom prst="rect">
                            <a:avLst/>
                          </a:prstGeom>
                          <a:noFill/>
                          <a:ln>
                            <a:noFill/>
                          </a:ln>
                        </pic:spPr>
                      </pic:pic>
                    </a:graphicData>
                  </a:graphic>
                </wp:anchor>
              </w:drawing>
            </w:r>
          </w:p>
          <w:p>
            <w:pPr>
              <w:ind w:firstLine="3574" w:firstLineChars="17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签字：</w:t>
            </w:r>
          </w:p>
        </w:tc>
      </w:tr>
      <w:tr>
        <w:trPr>
          <w:trHeight w:val="937"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党支部书记</w:t>
            </w:r>
          </w:p>
        </w:tc>
        <w:tc>
          <w:tcPr>
            <w:tcW w:w="6968" w:type="dxa"/>
            <w:gridSpan w:val="3"/>
            <w:noWrap w:val="0"/>
            <w:vAlign w:val="center"/>
          </w:tcPr>
          <w:p>
            <w:pPr>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w:t>
            </w:r>
            <w:r>
              <w:rPr>
                <w:rFonts w:hint="eastAsia" w:ascii="宋体" w:hAnsi="宋体" w:eastAsia="宋体" w:cs="宋体"/>
                <w:b/>
                <w:bCs/>
                <w:color w:val="000000"/>
                <w:sz w:val="21"/>
                <w:szCs w:val="21"/>
                <w:lang w:val="en-US" w:eastAsia="zh-CN"/>
              </w:rPr>
              <w:t>2021</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月</w:t>
            </w:r>
            <w:r>
              <w:rPr>
                <w:rFonts w:hint="eastAsia" w:ascii="宋体" w:hAnsi="宋体" w:eastAsia="宋体" w:cs="宋体"/>
                <w:b/>
                <w:bCs/>
                <w:color w:val="000000"/>
                <w:sz w:val="21"/>
                <w:szCs w:val="21"/>
                <w:lang w:val="en-US" w:eastAsia="zh-CN"/>
              </w:rPr>
              <w:t>15</w:t>
            </w:r>
            <w:r>
              <w:rPr>
                <w:rFonts w:hint="eastAsia" w:ascii="宋体" w:hAnsi="宋体" w:eastAsia="宋体" w:cs="宋体"/>
                <w:b/>
                <w:bCs/>
                <w:color w:val="000000"/>
                <w:sz w:val="21"/>
                <w:szCs w:val="21"/>
              </w:rPr>
              <w:t>日院党委会审核通过，同意实施。</w:t>
            </w:r>
          </w:p>
          <w:p>
            <w:pPr>
              <w:textAlignment w:val="baseline"/>
              <w:rPr>
                <w:rFonts w:hint="eastAsia" w:ascii="宋体" w:hAnsi="宋体" w:eastAsia="宋体" w:cs="宋体"/>
                <w:b/>
                <w:bCs/>
                <w:color w:val="000000"/>
                <w:sz w:val="21"/>
                <w:szCs w:val="21"/>
                <w:lang w:val="en-US" w:eastAsia="zh-CN"/>
              </w:rPr>
            </w:pPr>
            <w:r>
              <w:drawing>
                <wp:anchor distT="0" distB="0" distL="114300" distR="114300" simplePos="0" relativeHeight="251663360" behindDoc="1" locked="0" layoutInCell="1" allowOverlap="1">
                  <wp:simplePos x="0" y="0"/>
                  <wp:positionH relativeFrom="column">
                    <wp:posOffset>2716530</wp:posOffset>
                  </wp:positionH>
                  <wp:positionV relativeFrom="paragraph">
                    <wp:posOffset>9525</wp:posOffset>
                  </wp:positionV>
                  <wp:extent cx="820420" cy="395605"/>
                  <wp:effectExtent l="0" t="0" r="17780" b="444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820420" cy="395605"/>
                          </a:xfrm>
                          <a:prstGeom prst="rect">
                            <a:avLst/>
                          </a:prstGeom>
                          <a:noFill/>
                          <a:ln>
                            <a:noFill/>
                          </a:ln>
                        </pic:spPr>
                      </pic:pic>
                    </a:graphicData>
                  </a:graphic>
                </wp:anchor>
              </w:drawing>
            </w:r>
          </w:p>
          <w:p>
            <w:pPr>
              <w:ind w:firstLine="3574" w:firstLineChars="17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签字：</w:t>
            </w:r>
          </w:p>
        </w:tc>
      </w:tr>
    </w:tbl>
    <w:p/>
    <w:p/>
    <w:p>
      <w:r>
        <w:drawing>
          <wp:anchor distT="0" distB="0" distL="114300" distR="114300" simplePos="0" relativeHeight="251661312" behindDoc="1" locked="0" layoutInCell="1" allowOverlap="1">
            <wp:simplePos x="0" y="0"/>
            <wp:positionH relativeFrom="column">
              <wp:posOffset>2882900</wp:posOffset>
            </wp:positionH>
            <wp:positionV relativeFrom="paragraph">
              <wp:posOffset>191770</wp:posOffset>
            </wp:positionV>
            <wp:extent cx="923290" cy="605155"/>
            <wp:effectExtent l="0" t="0" r="10160" b="4445"/>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lum contrast="90000"/>
                    </a:blip>
                    <a:stretch>
                      <a:fillRect/>
                    </a:stretch>
                  </pic:blipFill>
                  <pic:spPr>
                    <a:xfrm>
                      <a:off x="0" y="0"/>
                      <a:ext cx="923290" cy="60515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857250</wp:posOffset>
            </wp:positionH>
            <wp:positionV relativeFrom="paragraph">
              <wp:posOffset>184785</wp:posOffset>
            </wp:positionV>
            <wp:extent cx="887730" cy="487680"/>
            <wp:effectExtent l="0" t="0" r="7620" b="7620"/>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lum contrast="72000"/>
                    </a:blip>
                    <a:stretch>
                      <a:fillRect/>
                    </a:stretch>
                  </pic:blipFill>
                  <pic:spPr>
                    <a:xfrm>
                      <a:off x="0" y="0"/>
                      <a:ext cx="887730" cy="487680"/>
                    </a:xfrm>
                    <a:prstGeom prst="rect">
                      <a:avLst/>
                    </a:prstGeom>
                    <a:noFill/>
                    <a:ln>
                      <a:noFill/>
                    </a:ln>
                  </pic:spPr>
                </pic:pic>
              </a:graphicData>
            </a:graphic>
          </wp:anchor>
        </w:drawing>
      </w:r>
    </w:p>
    <w:p>
      <w:r>
        <w:drawing>
          <wp:anchor distT="0" distB="0" distL="114300" distR="114300" simplePos="0" relativeHeight="251661312" behindDoc="1" locked="0" layoutInCell="1" allowOverlap="1">
            <wp:simplePos x="0" y="0"/>
            <wp:positionH relativeFrom="column">
              <wp:posOffset>1879600</wp:posOffset>
            </wp:positionH>
            <wp:positionV relativeFrom="paragraph">
              <wp:posOffset>12700</wp:posOffset>
            </wp:positionV>
            <wp:extent cx="915670" cy="376555"/>
            <wp:effectExtent l="0" t="0" r="17780" b="444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lum contrast="78000"/>
                    </a:blip>
                    <a:stretch>
                      <a:fillRect/>
                    </a:stretch>
                  </pic:blipFill>
                  <pic:spPr>
                    <a:xfrm>
                      <a:off x="0" y="0"/>
                      <a:ext cx="915670" cy="37655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3914140</wp:posOffset>
            </wp:positionH>
            <wp:positionV relativeFrom="paragraph">
              <wp:posOffset>20320</wp:posOffset>
            </wp:positionV>
            <wp:extent cx="633095" cy="419100"/>
            <wp:effectExtent l="0" t="0" r="14605"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a:lum contrast="90000"/>
                    </a:blip>
                    <a:stretch>
                      <a:fillRect/>
                    </a:stretch>
                  </pic:blipFill>
                  <pic:spPr>
                    <a:xfrm>
                      <a:off x="0" y="0"/>
                      <a:ext cx="633095" cy="419100"/>
                    </a:xfrm>
                    <a:prstGeom prst="rect">
                      <a:avLst/>
                    </a:prstGeom>
                    <a:noFill/>
                    <a:ln>
                      <a:noFill/>
                    </a:ln>
                  </pic:spPr>
                </pic:pic>
              </a:graphicData>
            </a:graphic>
          </wp:anchor>
        </w:drawing>
      </w:r>
    </w:p>
    <w:p>
      <w:pPr>
        <w:rPr>
          <w:rFonts w:hint="default" w:eastAsiaTheme="minorEastAsia"/>
          <w:lang w:val="en-US" w:eastAsia="zh-CN"/>
        </w:rPr>
      </w:pPr>
      <w:r>
        <w:rPr>
          <w:rFonts w:hint="eastAsia"/>
          <w:lang w:val="en-US" w:eastAsia="zh-CN"/>
        </w:rPr>
        <w:t>备选签名：</w:t>
      </w:r>
    </w:p>
    <w:p/>
    <w:p/>
    <w:p/>
    <w:p/>
    <w:p/>
    <w:p>
      <w:pPr>
        <w:spacing w:line="360" w:lineRule="auto"/>
        <w:jc w:val="center"/>
        <w:outlineLvl w:val="0"/>
        <w:rPr>
          <w:rFonts w:hint="eastAsia" w:ascii="黑体" w:hAnsi="黑体" w:eastAsia="黑体" w:cs="黑体"/>
          <w:b/>
          <w:kern w:val="44"/>
          <w:sz w:val="24"/>
          <w:szCs w:val="24"/>
        </w:rPr>
      </w:pPr>
      <w:bookmarkStart w:id="0" w:name="_Toc11146"/>
      <w:r>
        <w:rPr>
          <w:rFonts w:hint="eastAsia" w:ascii="方正公文小标宋" w:hAnsi="方正公文小标宋" w:eastAsia="方正公文小标宋" w:cs="方正公文小标宋"/>
          <w:b w:val="0"/>
          <w:bCs w:val="0"/>
          <w:color w:val="000000"/>
          <w:sz w:val="32"/>
          <w:szCs w:val="32"/>
          <w:lang w:val="en-US" w:eastAsia="zh-CN"/>
        </w:rPr>
        <w:t>中餐烹饪专业人才培养方案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一、专业名称及代码</w:t>
      </w:r>
      <w:bookmarkEnd w:id="0"/>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   （</w:t>
      </w:r>
      <w:r>
        <w:rPr>
          <w:rFonts w:hint="eastAsia" w:ascii="楷体" w:hAnsi="楷体" w:eastAsia="楷体" w:cs="楷体"/>
          <w:color w:val="000000"/>
          <w:sz w:val="24"/>
          <w:szCs w:val="24"/>
        </w:rPr>
        <w:t>一）专业名称：</w:t>
      </w:r>
      <w:r>
        <w:rPr>
          <w:rFonts w:hint="eastAsia" w:ascii="宋体" w:hAnsi="宋体" w:cs="宋体"/>
          <w:b w:val="0"/>
          <w:bCs w:val="0"/>
          <w:iCs/>
          <w:color w:val="auto"/>
          <w:sz w:val="24"/>
          <w:lang w:val="en-US" w:eastAsia="zh-CN"/>
        </w:rPr>
        <w:t>中餐烹饪</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   </w:t>
      </w:r>
      <w:r>
        <w:rPr>
          <w:rFonts w:hint="eastAsia" w:ascii="楷体" w:hAnsi="楷体" w:eastAsia="楷体" w:cs="楷体"/>
          <w:color w:val="000000"/>
          <w:sz w:val="24"/>
          <w:szCs w:val="24"/>
        </w:rPr>
        <w:t>（二）专业代码：</w:t>
      </w:r>
      <w:bookmarkStart w:id="1" w:name="_Toc21474"/>
      <w:bookmarkStart w:id="2" w:name="_Toc18388"/>
      <w:r>
        <w:rPr>
          <w:rFonts w:hint="eastAsia" w:ascii="宋体" w:hAnsi="宋体" w:cs="宋体"/>
          <w:b w:val="0"/>
          <w:bCs w:val="0"/>
          <w:iCs/>
          <w:color w:val="auto"/>
          <w:sz w:val="24"/>
          <w:lang w:val="en-US" w:eastAsia="zh-CN"/>
        </w:rPr>
        <w:t>740201</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二、入学要求</w:t>
      </w:r>
      <w:bookmarkEnd w:id="1"/>
      <w:bookmarkEnd w:id="2"/>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初中毕业生或具有同等学</w:t>
      </w:r>
      <w:r>
        <w:rPr>
          <w:rFonts w:hint="eastAsia" w:ascii="仿宋" w:hAnsi="仿宋" w:eastAsia="仿宋" w:cs="仿宋"/>
          <w:sz w:val="24"/>
          <w:szCs w:val="24"/>
          <w:lang w:val="en-US" w:eastAsia="zh-CN"/>
        </w:rPr>
        <w:t>力</w:t>
      </w:r>
      <w:r>
        <w:rPr>
          <w:rFonts w:hint="eastAsia" w:ascii="仿宋" w:hAnsi="仿宋" w:eastAsia="仿宋" w:cs="仿宋"/>
          <w:sz w:val="24"/>
          <w:szCs w:val="24"/>
        </w:rPr>
        <w:t>者</w:t>
      </w:r>
      <w:bookmarkStart w:id="3" w:name="_Toc32145"/>
      <w:bookmarkStart w:id="4" w:name="_Toc9100"/>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三、修业年限</w:t>
      </w:r>
      <w:bookmarkEnd w:id="3"/>
      <w:bookmarkEnd w:id="4"/>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三年（2</w:t>
      </w:r>
      <w:r>
        <w:rPr>
          <w:rFonts w:hint="eastAsia" w:ascii="仿宋" w:hAnsi="仿宋" w:eastAsia="仿宋" w:cs="仿宋"/>
          <w:sz w:val="24"/>
          <w:szCs w:val="24"/>
          <w:lang w:val="en-US" w:eastAsia="zh-CN"/>
        </w:rPr>
        <w:t>.</w:t>
      </w:r>
      <w:r>
        <w:rPr>
          <w:rFonts w:hint="eastAsia" w:ascii="仿宋" w:hAnsi="仿宋" w:eastAsia="仿宋" w:cs="仿宋"/>
          <w:sz w:val="24"/>
          <w:szCs w:val="24"/>
        </w:rPr>
        <w:t>5+0.5）</w:t>
      </w:r>
      <w:bookmarkStart w:id="5" w:name="_Toc19409"/>
      <w:bookmarkStart w:id="6" w:name="_Toc26692"/>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职业面向</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rPr>
          <w:rFonts w:hint="eastAsia" w:ascii="楷体" w:hAnsi="楷体" w:eastAsia="楷体" w:cs="楷体"/>
          <w:b/>
          <w:bCs w:val="0"/>
          <w:kern w:val="44"/>
          <w:sz w:val="24"/>
          <w:szCs w:val="24"/>
          <w:lang w:val="en-US" w:eastAsia="zh-CN" w:bidi="ar-SA"/>
        </w:rPr>
      </w:pPr>
      <w:r>
        <w:rPr>
          <w:rFonts w:hint="eastAsia" w:ascii="楷体" w:hAnsi="楷体" w:eastAsia="楷体" w:cs="楷体"/>
          <w:b/>
          <w:bCs w:val="0"/>
          <w:kern w:val="44"/>
          <w:sz w:val="24"/>
          <w:szCs w:val="24"/>
          <w:lang w:val="en-US" w:eastAsia="zh-CN" w:bidi="ar-SA"/>
        </w:rPr>
        <w:t>（一）就业</w:t>
      </w:r>
    </w:p>
    <w:tbl>
      <w:tblPr>
        <w:tblStyle w:val="5"/>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213"/>
        <w:gridCol w:w="1198"/>
        <w:gridCol w:w="1301"/>
        <w:gridCol w:w="1760"/>
        <w:gridCol w:w="1735"/>
      </w:tblGrid>
      <w:tr>
        <w:tc>
          <w:tcPr>
            <w:tcW w:w="1209" w:type="dxa"/>
            <w:shd w:val="clear" w:color="auto" w:fill="BDD6EE" w:themeFill="accent1"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所属专业大类（代码）</w:t>
            </w:r>
          </w:p>
        </w:tc>
        <w:tc>
          <w:tcPr>
            <w:tcW w:w="1215" w:type="dxa"/>
            <w:shd w:val="clear" w:color="auto" w:fill="BDD6EE" w:themeFill="accent1"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所属专业类（代码）</w:t>
            </w:r>
          </w:p>
        </w:tc>
        <w:tc>
          <w:tcPr>
            <w:tcW w:w="1206" w:type="dxa"/>
            <w:shd w:val="clear" w:color="auto" w:fill="BDD6EE" w:themeFill="accent1"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本专业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对应行业</w:t>
            </w:r>
          </w:p>
        </w:tc>
        <w:tc>
          <w:tcPr>
            <w:tcW w:w="1266" w:type="dxa"/>
            <w:shd w:val="clear" w:color="auto" w:fill="BDD6EE" w:themeFill="accent1"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主要职业类别</w:t>
            </w:r>
          </w:p>
        </w:tc>
        <w:tc>
          <w:tcPr>
            <w:tcW w:w="1771" w:type="dxa"/>
            <w:shd w:val="clear" w:color="auto" w:fill="BDD6EE" w:themeFill="accent1"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主要岗位类别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（技术领域）</w:t>
            </w:r>
          </w:p>
        </w:tc>
        <w:tc>
          <w:tcPr>
            <w:tcW w:w="1743" w:type="dxa"/>
            <w:shd w:val="clear" w:color="auto" w:fill="BDD6EE" w:themeFill="accent1" w:themeFillTint="66"/>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职业资格证书</w:t>
            </w:r>
          </w:p>
        </w:tc>
      </w:tr>
      <w:tr>
        <w:trPr>
          <w:trHeight w:val="1963" w:hRule="atLeast"/>
        </w:trPr>
        <w:tc>
          <w:tcPr>
            <w:tcW w:w="12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0000FF"/>
                <w:kern w:val="44"/>
                <w:sz w:val="20"/>
                <w:szCs w:val="20"/>
                <w:vertAlign w:val="baseline"/>
                <w:lang w:val="en-US" w:eastAsia="zh-CN" w:bidi="ar-SA"/>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0000FF"/>
                <w:kern w:val="44"/>
                <w:sz w:val="20"/>
                <w:szCs w:val="20"/>
                <w:vertAlign w:val="baseline"/>
                <w:lang w:val="en-US" w:eastAsia="zh-CN" w:bidi="ar-SA"/>
              </w:rPr>
            </w:pPr>
            <w:bookmarkStart w:id="7" w:name="_Toc10993"/>
            <w:bookmarkStart w:id="8" w:name="_Toc21324"/>
            <w:bookmarkStart w:id="9" w:name="_Toc21075"/>
            <w:bookmarkStart w:id="10" w:name="_Toc28491"/>
            <w:r>
              <w:rPr>
                <w:rFonts w:hint="eastAsia" w:ascii="仿宋" w:hAnsi="仿宋" w:eastAsia="仿宋" w:cs="仿宋"/>
                <w:b w:val="0"/>
                <w:bCs w:val="0"/>
                <w:iCs/>
                <w:color w:val="auto"/>
                <w:sz w:val="20"/>
                <w:szCs w:val="20"/>
                <w:vertAlign w:val="baseline"/>
                <w:lang w:eastAsia="zh-CN"/>
              </w:rPr>
              <w:t>中餐烹饪（</w:t>
            </w:r>
            <w:r>
              <w:rPr>
                <w:rFonts w:hint="eastAsia" w:ascii="仿宋" w:hAnsi="仿宋" w:eastAsia="仿宋" w:cs="仿宋"/>
                <w:b w:val="0"/>
                <w:bCs w:val="0"/>
                <w:iCs/>
                <w:color w:val="auto"/>
                <w:sz w:val="20"/>
                <w:szCs w:val="20"/>
                <w:vertAlign w:val="baseline"/>
                <w:lang w:val="en-US" w:eastAsia="zh-CN"/>
              </w:rPr>
              <w:t>7402</w:t>
            </w:r>
            <w:r>
              <w:rPr>
                <w:rFonts w:hint="eastAsia" w:ascii="仿宋" w:hAnsi="仿宋" w:eastAsia="仿宋" w:cs="仿宋"/>
                <w:b w:val="0"/>
                <w:bCs w:val="0"/>
                <w:iCs/>
                <w:color w:val="auto"/>
                <w:sz w:val="20"/>
                <w:szCs w:val="20"/>
                <w:vertAlign w:val="baseline"/>
                <w:lang w:eastAsia="zh-CN"/>
              </w:rPr>
              <w:t>）</w:t>
            </w:r>
            <w:bookmarkEnd w:id="7"/>
            <w:bookmarkEnd w:id="8"/>
            <w:bookmarkEnd w:id="9"/>
            <w:bookmarkEnd w:id="10"/>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0000FF"/>
                <w:kern w:val="44"/>
                <w:sz w:val="20"/>
                <w:szCs w:val="20"/>
                <w:vertAlign w:val="baseline"/>
                <w:lang w:val="en-US" w:eastAsia="zh-CN" w:bidi="ar-SA"/>
              </w:rPr>
            </w:pPr>
          </w:p>
        </w:tc>
        <w:tc>
          <w:tcPr>
            <w:tcW w:w="1266" w:type="dxa"/>
            <w:vAlign w:val="center"/>
          </w:tcPr>
          <w:p>
            <w:pPr>
              <w:numPr>
                <w:ilvl w:val="0"/>
                <w:numId w:val="0"/>
              </w:numPr>
              <w:spacing w:line="240" w:lineRule="auto"/>
              <w:jc w:val="center"/>
              <w:outlineLvl w:val="0"/>
              <w:rPr>
                <w:rFonts w:hint="eastAsia" w:ascii="仿宋" w:hAnsi="仿宋" w:eastAsia="仿宋" w:cs="仿宋"/>
                <w:b w:val="0"/>
                <w:bCs w:val="0"/>
                <w:iCs/>
                <w:color w:val="auto"/>
                <w:sz w:val="20"/>
                <w:szCs w:val="20"/>
                <w:vertAlign w:val="baseline"/>
                <w:lang w:eastAsia="zh-CN"/>
              </w:rPr>
            </w:pPr>
            <w:bookmarkStart w:id="11" w:name="_Toc22262"/>
            <w:bookmarkStart w:id="12" w:name="_Toc7173"/>
            <w:bookmarkStart w:id="13" w:name="_Toc4657"/>
            <w:bookmarkStart w:id="14" w:name="_Toc7987"/>
            <w:r>
              <w:rPr>
                <w:rFonts w:hint="eastAsia" w:ascii="仿宋" w:hAnsi="仿宋" w:eastAsia="仿宋" w:cs="仿宋"/>
                <w:b w:val="0"/>
                <w:bCs w:val="0"/>
                <w:iCs/>
                <w:color w:val="auto"/>
                <w:sz w:val="20"/>
                <w:szCs w:val="20"/>
                <w:vertAlign w:val="baseline"/>
                <w:lang w:eastAsia="zh-CN"/>
              </w:rPr>
              <w:t>中式烹饪</w:t>
            </w:r>
            <w:bookmarkEnd w:id="11"/>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0000FF"/>
                <w:kern w:val="44"/>
                <w:sz w:val="20"/>
                <w:szCs w:val="20"/>
                <w:vertAlign w:val="baseline"/>
                <w:lang w:val="en-US" w:eastAsia="zh-CN" w:bidi="ar-SA"/>
              </w:rPr>
            </w:pPr>
            <w:bookmarkStart w:id="15" w:name="_Toc6193"/>
            <w:bookmarkStart w:id="16" w:name="_Toc5147"/>
            <w:bookmarkStart w:id="17" w:name="_Toc13608"/>
            <w:bookmarkStart w:id="18" w:name="_Toc27816"/>
            <w:r>
              <w:rPr>
                <w:rFonts w:hint="eastAsia" w:ascii="仿宋" w:hAnsi="仿宋" w:eastAsia="仿宋" w:cs="仿宋"/>
                <w:b w:val="0"/>
                <w:bCs w:val="0"/>
                <w:iCs/>
                <w:color w:val="auto"/>
                <w:sz w:val="20"/>
                <w:szCs w:val="20"/>
                <w:vertAlign w:val="baseline"/>
                <w:lang w:eastAsia="zh-CN"/>
              </w:rPr>
              <w:t>4-03-01-01</w:t>
            </w:r>
            <w:bookmarkEnd w:id="15"/>
            <w:bookmarkEnd w:id="16"/>
            <w:bookmarkEnd w:id="17"/>
            <w:bookmarkEnd w:id="18"/>
          </w:p>
        </w:tc>
        <w:tc>
          <w:tcPr>
            <w:tcW w:w="177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r>
              <w:rPr>
                <w:rFonts w:hint="eastAsia" w:ascii="仿宋" w:hAnsi="仿宋" w:eastAsia="仿宋" w:cs="仿宋"/>
                <w:b w:val="0"/>
                <w:bCs w:val="0"/>
                <w:iCs/>
                <w:color w:val="auto"/>
                <w:sz w:val="20"/>
                <w:szCs w:val="20"/>
                <w:vertAlign w:val="baseline"/>
                <w:lang w:eastAsia="zh-CN"/>
              </w:rPr>
              <w:t>主要面向星级酒店、餐饮连锁、度假村、海外机构等餐饮服务业，大型企、事业单位食堂，从事烹饪及厨务管理岗位(中餐、中点、西点、营养餐制作)的工作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p>
        </w:tc>
        <w:tc>
          <w:tcPr>
            <w:tcW w:w="1743" w:type="dxa"/>
            <w:vAlign w:val="center"/>
          </w:tcPr>
          <w:p>
            <w:pPr>
              <w:numPr>
                <w:ilvl w:val="0"/>
                <w:numId w:val="0"/>
              </w:numPr>
              <w:spacing w:line="240" w:lineRule="auto"/>
              <w:jc w:val="center"/>
              <w:outlineLvl w:val="0"/>
              <w:rPr>
                <w:rFonts w:hint="eastAsia" w:ascii="仿宋" w:hAnsi="仿宋" w:eastAsia="仿宋" w:cs="仿宋"/>
                <w:b w:val="0"/>
                <w:bCs w:val="0"/>
                <w:iCs/>
                <w:color w:val="auto"/>
                <w:sz w:val="20"/>
                <w:szCs w:val="20"/>
                <w:vertAlign w:val="baseline"/>
                <w:lang w:eastAsia="zh-CN"/>
              </w:rPr>
            </w:pPr>
            <w:bookmarkStart w:id="19" w:name="_Toc25407"/>
            <w:bookmarkStart w:id="20" w:name="_Toc5311"/>
            <w:bookmarkStart w:id="21" w:name="_Toc26265"/>
            <w:bookmarkStart w:id="22" w:name="_Toc8027"/>
            <w:r>
              <w:rPr>
                <w:rFonts w:hint="eastAsia" w:ascii="仿宋" w:hAnsi="仿宋" w:eastAsia="仿宋" w:cs="仿宋"/>
                <w:b w:val="0"/>
                <w:bCs w:val="0"/>
                <w:iCs/>
                <w:color w:val="auto"/>
                <w:sz w:val="20"/>
                <w:szCs w:val="20"/>
                <w:vertAlign w:val="baseline"/>
                <w:lang w:eastAsia="zh-CN"/>
              </w:rPr>
              <w:t>*初（中）级中式烹调师（第三方）</w:t>
            </w:r>
            <w:bookmarkEnd w:id="19"/>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bookmarkStart w:id="23" w:name="_Toc17942"/>
            <w:bookmarkStart w:id="24" w:name="_Toc4710"/>
            <w:bookmarkStart w:id="25" w:name="_Toc12507"/>
            <w:bookmarkStart w:id="26" w:name="_Toc19685"/>
            <w:r>
              <w:rPr>
                <w:rFonts w:hint="eastAsia" w:ascii="仿宋" w:hAnsi="仿宋" w:eastAsia="仿宋" w:cs="仿宋"/>
                <w:b w:val="0"/>
                <w:bCs w:val="0"/>
                <w:iCs/>
                <w:color w:val="auto"/>
                <w:sz w:val="20"/>
                <w:szCs w:val="20"/>
                <w:vertAlign w:val="baseline"/>
                <w:lang w:eastAsia="zh-CN"/>
              </w:rPr>
              <w:t>初（中）级中式面点师（第三方）</w:t>
            </w:r>
            <w:bookmarkEnd w:id="23"/>
            <w:bookmarkEnd w:id="24"/>
            <w:bookmarkEnd w:id="25"/>
            <w:bookmarkEnd w:id="26"/>
          </w:p>
        </w:tc>
      </w:tr>
      <w:tr>
        <w:trPr>
          <w:trHeight w:val="496" w:hRule="atLeast"/>
        </w:trPr>
        <w:tc>
          <w:tcPr>
            <w:tcW w:w="12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color w:val="0000FF"/>
                <w:kern w:val="44"/>
                <w:sz w:val="20"/>
                <w:szCs w:val="20"/>
                <w:vertAlign w:val="baseline"/>
                <w:lang w:val="en-US" w:eastAsia="zh-CN" w:bidi="ar-SA"/>
              </w:rPr>
            </w:pPr>
          </w:p>
        </w:tc>
        <w:tc>
          <w:tcPr>
            <w:tcW w:w="12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val="0"/>
                <w:iCs/>
                <w:color w:val="auto"/>
                <w:sz w:val="20"/>
                <w:szCs w:val="20"/>
                <w:vertAlign w:val="baseline"/>
                <w:lang w:eastAsia="zh-CN"/>
              </w:rPr>
            </w:pPr>
            <w:bookmarkStart w:id="27" w:name="_Toc7475"/>
            <w:bookmarkStart w:id="28" w:name="_Toc20254"/>
            <w:bookmarkStart w:id="29" w:name="_Toc7685"/>
            <w:bookmarkStart w:id="30" w:name="_Toc15508"/>
            <w:r>
              <w:rPr>
                <w:rFonts w:hint="eastAsia" w:ascii="仿宋" w:hAnsi="仿宋" w:eastAsia="仿宋" w:cs="仿宋"/>
                <w:b w:val="0"/>
                <w:bCs w:val="0"/>
                <w:iCs/>
                <w:color w:val="auto"/>
                <w:sz w:val="20"/>
                <w:szCs w:val="20"/>
                <w:vertAlign w:val="baseline"/>
                <w:lang w:eastAsia="zh-CN"/>
              </w:rPr>
              <w:t>西式面点</w:t>
            </w:r>
            <w:bookmarkEnd w:id="27"/>
            <w:bookmarkEnd w:id="28"/>
            <w:bookmarkEnd w:id="29"/>
            <w:bookmarkEnd w:id="30"/>
          </w:p>
        </w:tc>
        <w:tc>
          <w:tcPr>
            <w:tcW w:w="12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b w:val="0"/>
                <w:bCs/>
                <w:color w:val="0000FF"/>
                <w:kern w:val="44"/>
                <w:sz w:val="20"/>
                <w:szCs w:val="20"/>
                <w:vertAlign w:val="baseline"/>
                <w:lang w:val="en-US" w:eastAsia="zh-CN" w:bidi="ar-SA"/>
              </w:rPr>
            </w:pPr>
          </w:p>
        </w:tc>
        <w:tc>
          <w:tcPr>
            <w:tcW w:w="1266" w:type="dxa"/>
            <w:vAlign w:val="center"/>
          </w:tcPr>
          <w:p>
            <w:pPr>
              <w:numPr>
                <w:ilvl w:val="0"/>
                <w:numId w:val="0"/>
              </w:numPr>
              <w:spacing w:line="240" w:lineRule="auto"/>
              <w:jc w:val="center"/>
              <w:outlineLvl w:val="0"/>
              <w:rPr>
                <w:rFonts w:hint="eastAsia" w:ascii="仿宋" w:hAnsi="仿宋" w:eastAsia="仿宋" w:cs="仿宋"/>
                <w:b w:val="0"/>
                <w:bCs w:val="0"/>
                <w:iCs/>
                <w:color w:val="auto"/>
                <w:sz w:val="20"/>
                <w:szCs w:val="20"/>
                <w:vertAlign w:val="baseline"/>
                <w:lang w:eastAsia="zh-CN"/>
              </w:rPr>
            </w:pPr>
            <w:bookmarkStart w:id="31" w:name="_Toc32337"/>
            <w:bookmarkStart w:id="32" w:name="_Toc31141"/>
            <w:bookmarkStart w:id="33" w:name="_Toc25411"/>
            <w:bookmarkStart w:id="34" w:name="_Toc21185"/>
            <w:r>
              <w:rPr>
                <w:rFonts w:hint="eastAsia" w:ascii="仿宋" w:hAnsi="仿宋" w:eastAsia="仿宋" w:cs="仿宋"/>
                <w:b w:val="0"/>
                <w:bCs w:val="0"/>
                <w:iCs/>
                <w:color w:val="auto"/>
                <w:sz w:val="20"/>
                <w:szCs w:val="20"/>
                <w:vertAlign w:val="baseline"/>
                <w:lang w:eastAsia="zh-CN"/>
              </w:rPr>
              <w:t>西式面点</w:t>
            </w:r>
            <w:bookmarkEnd w:id="31"/>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0000FF"/>
                <w:kern w:val="44"/>
                <w:sz w:val="20"/>
                <w:szCs w:val="20"/>
                <w:vertAlign w:val="baseline"/>
                <w:lang w:val="en-US" w:eastAsia="zh-CN" w:bidi="ar-SA"/>
              </w:rPr>
            </w:pPr>
            <w:bookmarkStart w:id="35" w:name="_Toc16645"/>
            <w:bookmarkStart w:id="36" w:name="_Toc8480"/>
            <w:bookmarkStart w:id="37" w:name="_Toc13413"/>
            <w:bookmarkStart w:id="38" w:name="_Toc5476"/>
            <w:r>
              <w:rPr>
                <w:rFonts w:hint="eastAsia" w:ascii="仿宋" w:hAnsi="仿宋" w:eastAsia="仿宋" w:cs="仿宋"/>
                <w:b w:val="0"/>
                <w:bCs w:val="0"/>
                <w:iCs/>
                <w:color w:val="auto"/>
                <w:sz w:val="20"/>
                <w:szCs w:val="20"/>
                <w:vertAlign w:val="baseline"/>
                <w:lang w:eastAsia="zh-CN"/>
              </w:rPr>
              <w:t>4-03-02-02</w:t>
            </w:r>
            <w:bookmarkEnd w:id="35"/>
            <w:bookmarkEnd w:id="36"/>
            <w:bookmarkEnd w:id="37"/>
            <w:bookmarkEnd w:id="38"/>
          </w:p>
        </w:tc>
        <w:tc>
          <w:tcPr>
            <w:tcW w:w="177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p>
        </w:tc>
        <w:tc>
          <w:tcPr>
            <w:tcW w:w="1743" w:type="dxa"/>
            <w:vAlign w:val="center"/>
          </w:tcPr>
          <w:p>
            <w:pPr>
              <w:numPr>
                <w:ilvl w:val="0"/>
                <w:numId w:val="0"/>
              </w:numPr>
              <w:spacing w:line="240" w:lineRule="auto"/>
              <w:jc w:val="center"/>
              <w:outlineLvl w:val="0"/>
              <w:rPr>
                <w:rFonts w:hint="eastAsia" w:ascii="仿宋" w:hAnsi="仿宋" w:eastAsia="仿宋" w:cs="仿宋"/>
                <w:b w:val="0"/>
                <w:bCs w:val="0"/>
                <w:iCs/>
                <w:color w:val="auto"/>
                <w:sz w:val="20"/>
                <w:szCs w:val="20"/>
                <w:vertAlign w:val="baseline"/>
                <w:lang w:eastAsia="zh-CN"/>
              </w:rPr>
            </w:pPr>
            <w:bookmarkStart w:id="39" w:name="_Toc19099"/>
            <w:bookmarkStart w:id="40" w:name="_Toc17428"/>
            <w:bookmarkStart w:id="41" w:name="_Toc572"/>
            <w:bookmarkStart w:id="42" w:name="_Toc26810"/>
            <w:r>
              <w:rPr>
                <w:rFonts w:hint="eastAsia" w:ascii="仿宋" w:hAnsi="仿宋" w:eastAsia="仿宋" w:cs="仿宋"/>
                <w:b w:val="0"/>
                <w:bCs w:val="0"/>
                <w:iCs/>
                <w:color w:val="auto"/>
                <w:sz w:val="20"/>
                <w:szCs w:val="20"/>
                <w:vertAlign w:val="baseline"/>
                <w:lang w:eastAsia="zh-CN"/>
              </w:rPr>
              <w:t>*初（中）级西式面点师（第三方）</w:t>
            </w:r>
            <w:bookmarkEnd w:id="39"/>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color w:val="FF0000"/>
                <w:kern w:val="44"/>
                <w:sz w:val="20"/>
                <w:szCs w:val="20"/>
                <w:vertAlign w:val="baseline"/>
                <w:lang w:val="en-US" w:eastAsia="zh-CN" w:bidi="ar-SA"/>
              </w:rPr>
            </w:pPr>
            <w:bookmarkStart w:id="43" w:name="_Toc11964"/>
            <w:bookmarkStart w:id="44" w:name="_Toc9143"/>
            <w:bookmarkStart w:id="45" w:name="_Toc12515"/>
            <w:bookmarkStart w:id="46" w:name="_Toc4977"/>
            <w:r>
              <w:rPr>
                <w:rFonts w:hint="eastAsia" w:ascii="仿宋" w:hAnsi="仿宋" w:eastAsia="仿宋" w:cs="仿宋"/>
                <w:b w:val="0"/>
                <w:bCs w:val="0"/>
                <w:iCs/>
                <w:color w:val="auto"/>
                <w:sz w:val="20"/>
                <w:szCs w:val="20"/>
                <w:vertAlign w:val="baseline"/>
                <w:lang w:eastAsia="zh-CN"/>
              </w:rPr>
              <w:t>初（中）级中式面点师（第三方）</w:t>
            </w:r>
            <w:bookmarkEnd w:id="43"/>
            <w:bookmarkEnd w:id="44"/>
            <w:bookmarkEnd w:id="45"/>
            <w:bookmarkEnd w:id="46"/>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eastAsia" w:ascii="楷体" w:hAnsi="楷体" w:eastAsia="楷体" w:cs="楷体"/>
          <w:b/>
          <w:bCs w:val="0"/>
          <w:kern w:val="44"/>
          <w:sz w:val="24"/>
          <w:szCs w:val="24"/>
          <w:lang w:val="en-US" w:eastAsia="zh-CN" w:bidi="ar-SA"/>
        </w:rPr>
      </w:pPr>
      <w:r>
        <w:rPr>
          <w:rFonts w:hint="eastAsia" w:ascii="楷体" w:hAnsi="楷体" w:eastAsia="楷体" w:cs="楷体"/>
          <w:b/>
          <w:bCs w:val="0"/>
          <w:kern w:val="44"/>
          <w:sz w:val="24"/>
          <w:szCs w:val="24"/>
          <w:lang w:val="en-US" w:eastAsia="zh-CN" w:bidi="ar-SA"/>
        </w:rPr>
        <w:t>（二）升学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default" w:ascii="仿宋" w:hAnsi="仿宋" w:eastAsia="仿宋" w:cs="仿宋"/>
          <w:b w:val="0"/>
          <w:bCs/>
          <w:kern w:val="44"/>
          <w:sz w:val="24"/>
          <w:szCs w:val="24"/>
          <w:lang w:val="en-US" w:eastAsia="zh-CN" w:bidi="ar-SA"/>
        </w:rPr>
      </w:pPr>
      <w:r>
        <w:rPr>
          <w:rFonts w:hint="eastAsia" w:ascii="仿宋" w:hAnsi="仿宋" w:eastAsia="仿宋" w:cs="仿宋"/>
          <w:b w:val="0"/>
          <w:bCs/>
          <w:kern w:val="44"/>
          <w:sz w:val="24"/>
          <w:szCs w:val="24"/>
          <w:lang w:val="en-US" w:eastAsia="zh-CN" w:bidi="ar-SA"/>
        </w:rPr>
        <w:t>高等院校相关专业</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Cs/>
          <w:sz w:val="24"/>
          <w:szCs w:val="24"/>
          <w:lang w:eastAsia="zh-CN"/>
        </w:rPr>
      </w:pPr>
      <w:bookmarkStart w:id="47" w:name="_Toc14640"/>
      <w:bookmarkStart w:id="48" w:name="_Toc7518"/>
      <w:r>
        <w:rPr>
          <w:rFonts w:hint="eastAsia" w:ascii="黑体" w:hAnsi="黑体" w:eastAsia="黑体" w:cs="黑体"/>
          <w:bCs/>
          <w:sz w:val="24"/>
          <w:szCs w:val="24"/>
          <w:lang w:val="en-US" w:eastAsia="zh-CN"/>
        </w:rPr>
        <w:t>五、</w:t>
      </w:r>
      <w:r>
        <w:rPr>
          <w:rFonts w:hint="eastAsia" w:ascii="黑体" w:hAnsi="黑体" w:eastAsia="黑体" w:cs="黑体"/>
          <w:bCs/>
          <w:sz w:val="24"/>
          <w:szCs w:val="24"/>
          <w:lang w:eastAsia="zh-CN"/>
        </w:rPr>
        <w:t>培养目标与培养规格</w:t>
      </w:r>
    </w:p>
    <w:bookmarkEnd w:id="47"/>
    <w:bookmarkEnd w:id="48"/>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175"/>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一</w:t>
      </w:r>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培养目标</w:t>
      </w:r>
    </w:p>
    <w:p>
      <w:pPr>
        <w:widowControl/>
        <w:numPr>
          <w:ilvl w:val="0"/>
          <w:numId w:val="0"/>
        </w:numPr>
        <w:spacing w:line="360" w:lineRule="auto"/>
        <w:ind w:firstLine="480" w:firstLineChars="200"/>
        <w:jc w:val="left"/>
        <w:rPr>
          <w:rFonts w:hint="eastAsia" w:ascii="仿宋" w:hAnsi="仿宋" w:eastAsia="仿宋" w:cs="仿宋"/>
          <w:bCs/>
          <w:color w:val="000000"/>
          <w:sz w:val="24"/>
          <w:szCs w:val="24"/>
        </w:rPr>
      </w:pPr>
      <w:r>
        <w:rPr>
          <w:rFonts w:hint="eastAsia" w:ascii="仿宋" w:hAnsi="仿宋" w:eastAsia="仿宋" w:cs="仿宋"/>
          <w:bCs/>
          <w:sz w:val="24"/>
          <w:szCs w:val="24"/>
        </w:rPr>
        <w:t>以习</w:t>
      </w:r>
      <w:r>
        <w:rPr>
          <w:rFonts w:hint="eastAsia" w:ascii="仿宋" w:hAnsi="仿宋" w:eastAsia="仿宋" w:cs="仿宋"/>
          <w:bCs/>
          <w:sz w:val="24"/>
          <w:szCs w:val="24"/>
          <w:lang w:val="en-US" w:eastAsia="zh-CN"/>
        </w:rPr>
        <w:t>培养思想政治坚定、德技并修、全面发展，适应安徽经济建设与社会发展所需要的，具有良好的职业道德与综合职业能力素养，掌握现代烹饪所必须的理论、实操技能及管理知识；面向生产、服务、管理第一线，有独立工作能力，并能自主创新，在烹饪行业的特定环境下，具备一定的创业能力，成为不断适应现代化烹饪产业发展所需的高级高素质技术技能专门型人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textAlignment w:val="auto"/>
        <w:rPr>
          <w:rFonts w:hint="eastAsia" w:ascii="楷体" w:hAnsi="楷体" w:eastAsia="楷体" w:cs="楷体"/>
          <w:b/>
          <w:bCs w:val="0"/>
          <w:sz w:val="24"/>
          <w:szCs w:val="24"/>
          <w:lang w:eastAsia="zh-CN"/>
        </w:rPr>
      </w:pPr>
      <w:bookmarkStart w:id="49" w:name="_Toc31788"/>
      <w:bookmarkStart w:id="50" w:name="_Toc23069"/>
      <w:bookmarkStart w:id="51" w:name="_Toc1486"/>
      <w:bookmarkStart w:id="52" w:name="_Toc28186"/>
      <w:bookmarkStart w:id="53" w:name="_Toc364432415"/>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二</w:t>
      </w:r>
      <w:r>
        <w:rPr>
          <w:rFonts w:hint="eastAsia" w:ascii="楷体" w:hAnsi="楷体" w:eastAsia="楷体" w:cs="楷体"/>
          <w:b/>
          <w:bCs w:val="0"/>
          <w:sz w:val="24"/>
          <w:szCs w:val="24"/>
          <w:lang w:eastAsia="zh-CN"/>
        </w:rPr>
        <w:t>）培养规格</w:t>
      </w:r>
      <w:bookmarkEnd w:id="49"/>
      <w:bookmarkEnd w:id="50"/>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本专业毕业生应具有以下职业素养、职业能力：</w:t>
      </w:r>
    </w:p>
    <w:bookmarkEnd w:id="51"/>
    <w:bookmarkEnd w:id="52"/>
    <w:bookmarkEnd w:id="53"/>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思想</w:t>
      </w:r>
      <w:r>
        <w:rPr>
          <w:rFonts w:hint="eastAsia" w:ascii="仿宋" w:hAnsi="仿宋" w:eastAsia="仿宋" w:cs="仿宋"/>
          <w:b/>
          <w:bCs/>
          <w:color w:val="auto"/>
          <w:sz w:val="24"/>
          <w:szCs w:val="24"/>
        </w:rPr>
        <w:t>素质</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（1）坚决拥护中国共产党领导，树立中国特色社会主义共同理想，践行社会主义核心价值观。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（2）具有正确的世界观、人生观、价值观。具有爱国情感、国家认同感、中华民族自豪感，遵守法律，遵规守纪，具有社会责任感和参与意识。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（3）具备运用马克思主义哲学的基本观点、方法分析和解决人生发展重要问题的能力，有为国家富强、民族昌盛而奋斗的志向和责任感。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（4）具有正确的职业理想和职业观、择业观、创业观以及成才观，具有良好的教师职业道德行为习惯和法律意识，具备工匠精神和创新创业意识及相应能力。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（5）具有良好的团队协作精神 、沟通能力和环境适应能力。养成自觉的安全意识、质量意识、成本意识和环保意识。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（6）具有积极的人生态度、健康的心理素质、良好的职业道德和较扎实的文化基础知识，具备一定的审美和人文素养。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知识</w:t>
      </w:r>
      <w:r>
        <w:rPr>
          <w:rFonts w:hint="eastAsia" w:ascii="仿宋" w:hAnsi="仿宋" w:eastAsia="仿宋" w:cs="仿宋"/>
          <w:b/>
          <w:bCs/>
          <w:color w:val="auto"/>
          <w:sz w:val="24"/>
          <w:szCs w:val="24"/>
          <w:lang w:val="en-US" w:eastAsia="zh-CN"/>
        </w:rPr>
        <w:t>与能力</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eastAsia="zh-CN"/>
        </w:rPr>
        <w:t>掌握必备的思想政治理论、科学文化基础知识和中华优秀传统文化</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zh-CN" w:eastAsia="zh-CN"/>
        </w:rPr>
        <w:t>熟悉与本专业相关的法律法规以及环境保护、安全消防、安全文明生产等相关知识</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zh-CN" w:eastAsia="zh-CN"/>
        </w:rPr>
        <w:t>熟悉中西方餐饮文化</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val="zh-CN" w:eastAsia="zh-CN"/>
        </w:rPr>
        <w:t>掌握饮食营养与卫生安全知识</w:t>
      </w:r>
      <w:r>
        <w:rPr>
          <w:rFonts w:hint="eastAsia" w:ascii="仿宋" w:hAnsi="仿宋" w:eastAsia="仿宋" w:cs="仿宋"/>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rPr>
        <w:t>（5）</w:t>
      </w:r>
      <w:r>
        <w:rPr>
          <w:rFonts w:hint="eastAsia" w:ascii="仿宋" w:hAnsi="仿宋" w:eastAsia="仿宋" w:cs="仿宋"/>
          <w:color w:val="auto"/>
          <w:sz w:val="24"/>
          <w:szCs w:val="24"/>
          <w:lang w:val="zh-CN" w:eastAsia="zh-CN"/>
        </w:rPr>
        <w:t>掌握烹饪原料与加工技术、营养知识，掌握中式烹调和面点工艺。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val="zh-CN" w:eastAsia="zh-CN"/>
        </w:rPr>
        <w:t>）掌握厨房管理和厨房运行控制知识。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val="zh-CN" w:eastAsia="zh-CN"/>
        </w:rPr>
        <w:t>）掌握餐饮研发以及宴会策划等相关知识。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职业技能</w:t>
      </w:r>
      <w:r>
        <w:rPr>
          <w:rFonts w:hint="eastAsia" w:ascii="仿宋" w:hAnsi="仿宋" w:eastAsia="仿宋" w:cs="仿宋"/>
          <w:b/>
          <w:bCs/>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zh-CN" w:eastAsia="zh-CN"/>
        </w:rPr>
        <w:t>具有良好的语言、文字表达能力，应用文写作和沟通能力。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（2）具有营养分析与配餐、烹饪安全控制能力。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（3）能够完成中餐烹调、中式面点、地方风味菜点的制作；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（4）具有厨房生产组织和管理能力。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（5）具有餐饮企业基层管理能力。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（6）具有餐饮产品设计开发能力。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仿宋" w:hAnsi="仿宋" w:eastAsia="仿宋" w:cs="仿宋"/>
          <w:color w:val="auto"/>
          <w:sz w:val="24"/>
          <w:szCs w:val="24"/>
          <w:lang w:val="zh-CN" w:eastAsia="zh-CN"/>
        </w:rPr>
      </w:pPr>
      <w:r>
        <w:rPr>
          <w:rFonts w:hint="eastAsia" w:ascii="仿宋" w:hAnsi="仿宋" w:eastAsia="仿宋" w:cs="仿宋"/>
          <w:color w:val="auto"/>
          <w:sz w:val="24"/>
          <w:szCs w:val="24"/>
          <w:lang w:val="zh-CN" w:eastAsia="zh-CN"/>
        </w:rPr>
        <w:t>（7）具有宴会菜单设计与策划能力。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楷体" w:hAnsi="楷体" w:eastAsia="楷体" w:cs="楷体"/>
          <w:sz w:val="24"/>
          <w:szCs w:val="24"/>
          <w:lang w:val="en-US" w:eastAsia="zh-CN"/>
        </w:rPr>
      </w:pPr>
      <w:r>
        <w:rPr>
          <w:rFonts w:hint="eastAsia" w:ascii="黑体" w:hAnsi="黑体" w:eastAsia="黑体" w:cs="黑体"/>
          <w:sz w:val="24"/>
          <w:szCs w:val="24"/>
          <w:lang w:val="en-US" w:eastAsia="zh-CN"/>
        </w:rPr>
        <w:t>六、课程设置及要求</w:t>
      </w:r>
    </w:p>
    <w:p>
      <w:pPr>
        <w:overflowPunct w:val="0"/>
        <w:adjustRightInd w:val="0"/>
        <w:ind w:firstLine="480" w:firstLineChars="200"/>
        <w:outlineLvl w:val="0"/>
        <w:rPr>
          <w:rFonts w:eastAsia="楷体_GB2312"/>
          <w:b/>
          <w:sz w:val="24"/>
          <w:szCs w:val="24"/>
        </w:rPr>
      </w:pPr>
      <w:r>
        <w:rPr>
          <w:rFonts w:eastAsia="楷体_GB2312"/>
          <w:b/>
          <w:sz w:val="24"/>
          <w:szCs w:val="24"/>
        </w:rPr>
        <w:t>（一）公共基础课程</w:t>
      </w:r>
    </w:p>
    <w:tbl>
      <w:tblPr>
        <w:tblStyle w:val="4"/>
        <w:tblW w:w="951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40"/>
        <w:gridCol w:w="3213"/>
        <w:gridCol w:w="3807"/>
        <w:gridCol w:w="705"/>
      </w:tblGrid>
      <w:tr>
        <w:trPr>
          <w:trHeight w:val="447" w:hRule="atLeast"/>
        </w:trPr>
        <w:tc>
          <w:tcPr>
            <w:tcW w:w="645"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140"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课程名称</w:t>
            </w:r>
          </w:p>
        </w:tc>
        <w:tc>
          <w:tcPr>
            <w:tcW w:w="3213"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课程目标</w:t>
            </w:r>
          </w:p>
        </w:tc>
        <w:tc>
          <w:tcPr>
            <w:tcW w:w="3807"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主要教学内容和要求</w:t>
            </w:r>
          </w:p>
        </w:tc>
        <w:tc>
          <w:tcPr>
            <w:tcW w:w="70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参考学时</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w:t>
            </w:r>
          </w:p>
        </w:tc>
        <w:tc>
          <w:tcPr>
            <w:tcW w:w="1140" w:type="dxa"/>
            <w:noWrap w:val="0"/>
            <w:vAlign w:val="center"/>
          </w:tcPr>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习近平新时代中国特色社会主义思想学生读本</w:t>
            </w:r>
          </w:p>
        </w:tc>
        <w:tc>
          <w:tcPr>
            <w:tcW w:w="3213"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80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帮助学生了解中国特色社会主义的创立、发展和完善，理解开辟中国特色社会主义道路的伟大意义；了解社会主义基本经济制度及其优越性；明白中国特色社会主义最本质的特征和中国特色社会主义制度的最大优势是中国共产党领导，理解我国政治制度的优越性，理解坚持党的领导、人民当家作主、依法治国有机统一是社会主义政治发展的必然要求；了解中国特色社会主义文化，增强文化自信；了解中国特色社会主义社会建设与生态文明建设。教学实践中，注意激发学生学习兴趣，注重探讨式和体验性学习，注重多样化考核评价。</w:t>
            </w:r>
          </w:p>
        </w:tc>
        <w:tc>
          <w:tcPr>
            <w:tcW w:w="705" w:type="dxa"/>
            <w:noWrap w:val="0"/>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心理健康</w:t>
            </w:r>
          </w:p>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与职业生</w:t>
            </w:r>
          </w:p>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涯规划</w:t>
            </w:r>
          </w:p>
        </w:tc>
        <w:tc>
          <w:tcPr>
            <w:tcW w:w="3213"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本课程的学习，使学生了解心理健康、职业生涯的基本知识，树立心理健康意识，掌握心理调适方法，养成自立自强、敬业乐群的心理品质和自尊自信、理性平和、积极向上的良好心态，提高应对挫折与适应社会的能力；使学生掌握制订和执行职业生涯规划的方法，提升职业素养，为顺利就业创业创造条件。</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帮助学生理解社会发展是实现人生梦想的客观环境，理解职业生涯规划的重要性；学会客观的自我认识，认识理想与现实的差异性，掌握青春期的性心理知识，养成健康向上的生活方式；了解所学专业对应的职业群及演变趋势，立足专业谋划发展；学会和谐交往、快乐生活；端正学习态度，学会时间管理，树立终身学习意识；了解调整职业生涯规划的必要性，把握职业生涯规划调整的时机，持续完善职业生涯规划，放飞理想，人生出彩。</w:t>
            </w:r>
          </w:p>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教学中，注意激发学生学习兴趣，可开展角色扮演、社会调查、人物访谈等活动，可选取典型案例开展座谈、讨论等，实行探讨式和体验性学习。注重多样化考核评价。</w:t>
            </w:r>
          </w:p>
        </w:tc>
        <w:tc>
          <w:tcPr>
            <w:tcW w:w="70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w:t>
            </w:r>
          </w:p>
        </w:tc>
        <w:tc>
          <w:tcPr>
            <w:tcW w:w="1140" w:type="dxa"/>
            <w:noWrap w:val="0"/>
            <w:vAlign w:val="center"/>
          </w:tcPr>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哲学与人生</w:t>
            </w:r>
          </w:p>
        </w:tc>
        <w:tc>
          <w:tcPr>
            <w:tcW w:w="3213"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本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帮助学生了解马克思主义哲学是科学的世界观和方法论；理解世界统一于物质的原理，懂得客观规律性和主观能动性的辩证关系；懂得世界是普遍联系和永恒发展的，学会用联系和发展的观点分析问题；理解认识与实践的辩证关系，坚持理论联系实际，做到知行合一；认识社会存在与社会意识的辩证关系，明确人民群众是历史的创造者，理解个人价值与社会价值的关系。</w:t>
            </w:r>
          </w:p>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教学中，遵循思想政治教育规律和学生身心发展规律，注意激发学生学习兴趣，可采用案例分析、讨论等方法，注重探讨式和案例式教学，注重多样化考核评价。</w:t>
            </w:r>
          </w:p>
        </w:tc>
        <w:tc>
          <w:tcPr>
            <w:tcW w:w="70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140" w:type="dxa"/>
            <w:noWrap w:val="0"/>
            <w:vAlign w:val="center"/>
          </w:tcPr>
          <w:p>
            <w:pPr>
              <w:pStyle w:val="7"/>
              <w:keepNext w:val="0"/>
              <w:keepLines w:val="0"/>
              <w:widowControl w:val="0"/>
              <w:shd w:val="clear" w:color="auto" w:fill="auto"/>
              <w:bidi w:val="0"/>
              <w:spacing w:before="0" w:after="120" w:line="240" w:lineRule="auto"/>
              <w:ind w:left="0" w:right="0" w:firstLine="0"/>
              <w:jc w:val="left"/>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职业道德与法治</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本部分内容的学习，学生能修理解全面依法治国的总目标，了解我国新时代加强公民道德建设、践行职业道德的主要内容及其重要意义；能够掌握加强职业道德修养的主要方法，初步具备依法维权和有序参与公共事务的能力；能够根据社会发展需要、结舍自身实际，以道德和法律的要求规范自己的言行，做恪守道德规茏、尊法学法守法用法的好公民。</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60"/>
              <w:jc w:val="both"/>
              <w:rPr>
                <w:rFonts w:hint="eastAsia" w:ascii="仿宋" w:hAnsi="仿宋" w:eastAsia="仿宋" w:cs="仿宋"/>
              </w:rPr>
            </w:pPr>
            <w:r>
              <w:rPr>
                <w:rFonts w:hint="eastAsia" w:ascii="仿宋" w:hAnsi="仿宋" w:eastAsia="仿宋" w:cs="仿宋"/>
                <w:color w:val="000000"/>
                <w:spacing w:val="0"/>
                <w:w w:val="100"/>
                <w:position w:val="0"/>
              </w:rPr>
              <w:t>掌握道德有法的关系，道德特点和作用，体认中华民族优良道德传统，坚持社会主义道德观，社会公德、家庭美德、个人品德的主要内容；理解职业道德的主要内容和意义，理解职业道德</w:t>
            </w:r>
            <w:r>
              <w:rPr>
                <w:rFonts w:hint="eastAsia" w:ascii="仿宋" w:hAnsi="仿宋" w:eastAsia="仿宋" w:cs="仿宋"/>
                <w:color w:val="000000"/>
                <w:spacing w:val="0"/>
                <w:w w:val="100"/>
                <w:position w:val="0"/>
                <w:sz w:val="18"/>
                <w:szCs w:val="18"/>
              </w:rPr>
              <w:t>3</w:t>
            </w:r>
            <w:r>
              <w:rPr>
                <w:rFonts w:hint="eastAsia" w:ascii="仿宋" w:hAnsi="仿宋" w:eastAsia="仿宋" w:cs="仿宋"/>
                <w:color w:val="000000"/>
                <w:spacing w:val="0"/>
                <w:w w:val="100"/>
                <w:position w:val="0"/>
              </w:rPr>
              <w:t>抿进社会发展和个人岗位成才的必要性；劳动精神、劳模精神的内涵，理解新时代弘扬劳动精神、劳模精神的意义；认识职业礼仪対职业道德行为养成的作用；掌握加强职业道需修养的基本方法；懂得法治的科学内涵,了解中国特色社会主义法律体系构成，建殳法治中国是坚持和发展中国特色社会主义内在要求；禿法的地位，实行禿制的意义，公民基本权利与基本义务的关系；対民法、刑法、民事诉讼法等有基本知识。</w:t>
            </w:r>
          </w:p>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教学中</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lang w:val="zh-CN" w:eastAsia="zh-CN" w:bidi="zh-CN"/>
              </w:rPr>
              <w:t>嘶思</w:t>
            </w:r>
            <w:r>
              <w:rPr>
                <w:rFonts w:hint="eastAsia" w:ascii="仿宋" w:hAnsi="仿宋" w:eastAsia="仿宋" w:cs="仿宋"/>
                <w:color w:val="000000"/>
                <w:spacing w:val="0"/>
                <w:w w:val="100"/>
                <w:position w:val="0"/>
              </w:rPr>
              <w:t>想政治教育规律和学生身心发展规律，激发学生学习兴趣，注重探讨式和体雖性学习，注重多样化考核评价。</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280" w:rightChars="0" w:firstLine="0" w:firstLineChars="0"/>
              <w:jc w:val="right"/>
              <w:rPr>
                <w:rFonts w:hint="eastAsia" w:ascii="仿宋" w:hAnsi="仿宋" w:eastAsia="仿宋" w:cs="仿宋"/>
                <w:color w:val="000000"/>
                <w:sz w:val="21"/>
                <w:szCs w:val="21"/>
              </w:rPr>
            </w:pPr>
            <w:r>
              <w:rPr>
                <w:rFonts w:hint="eastAsia" w:ascii="仿宋" w:hAnsi="仿宋" w:eastAsia="仿宋" w:cs="仿宋"/>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劳动教育</w:t>
            </w:r>
          </w:p>
        </w:tc>
        <w:tc>
          <w:tcPr>
            <w:tcW w:w="3213" w:type="dxa"/>
            <w:noWrap w:val="0"/>
            <w:vAlign w:val="center"/>
          </w:tcPr>
          <w:p>
            <w:pPr>
              <w:spacing w:line="240" w:lineRule="auto"/>
              <w:ind w:firstLine="210" w:firstLineChars="1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帮助学生掌握马克思主义劳动价值论，深刻理解劳动精神、劳模精神、工匠精神的价值，了解参加校园劳动、家庭劳动的意义，了解掌握职业技能的意义，积极参加劳动锻炼。在教学实践中，注意激发学生学习兴趣，注重案例分析、课堂讨论，积极开展实习实训、专业服务、社会实践、勤工助学等，强化实践性和体验性学习，注重多样化考核评价。</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语文</w:t>
            </w:r>
          </w:p>
        </w:tc>
        <w:tc>
          <w:tcPr>
            <w:tcW w:w="3213"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学生通过阅读与欣赏、表达与交流及语文综合实践等活动，提升语言认知与积累、表达与交流，具备适应学习与生活需要的语言文字运用能力，养成自主学习和规范运用语言文字的良好习惯，进一步提高口语交际和文字写作素养。</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通过语感与语言习得、中外文学作品选读、实用性阅读与交流；古代诗文选读、中国革命传统作品选读、劳模精神工匠精神作品研读、职场应用写作与交流等。掌握日常生活和职业岗位要求的现代文阅读能力、写作能力、口语交际能力,具有初步的文学作品欣赏能力和浅易文言文阅读能力。</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98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7</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数学</w:t>
            </w:r>
          </w:p>
        </w:tc>
        <w:tc>
          <w:tcPr>
            <w:tcW w:w="3213"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让学生掌握必要的数学知识、数学技能、数学方法，培养学生在学习和工作中运用数学知识和经验发现问题的意识、运用数学的思维方式和解决问题的能力，培养学生具备一定的科学精神和工匠精神，养成良好的道德品质，增强创新意识。</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本课程主要教学内容：集合、不等式、函数、指数函数与对数函数、三角函数、数列、直线与圆的方程等。要求以学生为中心，使用信息化手段提高教学效果，过程性评价不低于60%。</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234</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8</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英语</w:t>
            </w:r>
          </w:p>
        </w:tc>
        <w:tc>
          <w:tcPr>
            <w:tcW w:w="3213"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掌握基础模块和职业模块的知识，能听懂简单的职业英语对话，并进行简单的交流。能正确理解简短的职场中不同类型英语文章。提高学生的跨文化意识，开阔视野，激发学生学习英语的兴趣和热情。</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中职英语词汇、听力、口语、阅读、语法、写作等。教学要求：注重学生听说读写能力的培养，通过创设教学情境增加学生在课内外利用英语进行口语、书面交流锻炼的机会，促进学生自主学习能力、综合文化素养的提升。</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9</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体育与健康</w:t>
            </w:r>
          </w:p>
        </w:tc>
        <w:tc>
          <w:tcPr>
            <w:tcW w:w="3213"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学生能够了解体育运动相关的概念，掌握科学锻炼方法及运动损伤的急救处理方法。熟练掌握一至两项体育运动技能，提升学生的运动速度、力量、耐力、柔韧和灵敏等身体素质。激发学生的运动兴趣，增强自信心、意志力和自控力，培养学生团结合作的优良品质和良好的人际交往能力，为终身体育打下坚实基础。同时使学生在运动能力、健康行为和体育精神三方面获得发展。</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本课程主要教学内容：1基础模块：基础素质训练（一般体能、专项体能、职业体能、健康教育）。2拓展模块：田径、健身操、武术、羽毛球、乒乓球、足球、篮球、气排球等运动项目</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本课程教学要求：通过身体素质练习，专项训练，游戏练习，体质测量，教学比赛，对抗训练等方式进一步提高运动技能，形成良好的运动习惯和心理品质。引领学生逐步形成正确的世界观、人生观和社会主义核心价值观。</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180</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信息技术</w:t>
            </w:r>
          </w:p>
        </w:tc>
        <w:tc>
          <w:tcPr>
            <w:tcW w:w="3213"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信息技术课程要落实立德树人根本任务，通过理论知识学习、基础技能训练和综合应用实践，全面提升学生的信息素养和信息化职业能力。帮助学生理解信息技术、信息社会，了解信息技术相关知识，认识信息技术对当今人类生产生活的重要作用，理解信息社会特征，遵循信息社会规范，掌握信息技术在生产、生活和学习情境中的相关应用技能，具备综合运用信息技术和所学专业知识解决职业岗位情境中具体业务问题的信息化职业能力，在数字化学习与创新过程中培养学生独立思考和主动探究的能力。</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教学内容：结合所学专业知识，围绕职业岗位情境中具体业务问题，使学生了解信息技术设备与系统操作、办公软件与设备使用、程序设计、网络应用、图文编辑、数据处理、数字媒体技术应用、信息安全防护和人工智能应用等方面的知识，掌握信息获取、加工、分析、存储、信息安全、网络安全等知识与技能。要求：课堂教学理实一体化，通过设置与专业岗位相关的职业情境，采用任务驱动等教学方法，使学生达到预期教学效果。实践比例不低于60%。</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1</w:t>
            </w:r>
          </w:p>
        </w:tc>
        <w:tc>
          <w:tcPr>
            <w:tcW w:w="1140"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历史</w:t>
            </w:r>
          </w:p>
        </w:tc>
        <w:tc>
          <w:tcPr>
            <w:tcW w:w="3213"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以唯物史观为指导，帮助学生进一步了解人类社会形态发展的基本脉络、基本规律和优秀文化成果；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在“中国历史”模块教学中，帮助学生了解史前史、先秦史、秦汉史、三国两晋南北朝史、隋唐宋元明清史，掌握历史发展的线索和脉络，铸牢中华民族共同体意识；帮助学生了解晚清时期的内忧外患与救亡图存、辛亥革命、中国共产党领导的新民主主义革命的历史，充分认识“只有共产党能够救中国”；帮助学生了解社会主义革命和建设的初步探索、改革开放、中国特色社会主义进入新时代的历史。在“世界历史”模块教学中，帮助学生了解多样的文明古国、资本主义的兴起、工业革命、马克思主义的诞生与传播、第一次世界大战和俄国十月革命、苏联的社会主义建设第二次世界大战、两极格局下的世界、冷战结束后的世界。在教学实践中，注意将唯物史观、家国情怀等历史学科核心素养的培养融入教学过程；通过创设历史情境等丰富多彩的活动，引领学生对历史问题进行探究；善于挖掘中国历史上与中职学生专业学习密切相关的重要内容，提高历史教学的针对性和适切性；注重探讨式及其他形式的教学，注重多样化考核评价。</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72</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2</w:t>
            </w:r>
          </w:p>
        </w:tc>
        <w:tc>
          <w:tcPr>
            <w:tcW w:w="1140" w:type="dxa"/>
            <w:noWrap w:val="0"/>
            <w:vAlign w:val="center"/>
          </w:tcPr>
          <w:p>
            <w:pPr>
              <w:spacing w:line="240" w:lineRule="auto"/>
              <w:jc w:val="both"/>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创新创业教育</w:t>
            </w:r>
          </w:p>
        </w:tc>
        <w:tc>
          <w:tcPr>
            <w:tcW w:w="3213" w:type="dxa"/>
            <w:noWrap w:val="0"/>
            <w:vAlign w:val="center"/>
          </w:tcPr>
          <w:p>
            <w:pPr>
              <w:spacing w:line="240" w:lineRule="auto"/>
              <w:ind w:firstLine="420" w:firstLineChars="200"/>
              <w:jc w:val="both"/>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通过本课程的学习，使学生</w:t>
            </w:r>
            <w:r>
              <w:rPr>
                <w:rFonts w:hint="eastAsia" w:ascii="仿宋" w:hAnsi="仿宋" w:eastAsia="仿宋" w:cs="仿宋"/>
                <w:color w:val="000000"/>
                <w:sz w:val="21"/>
                <w:szCs w:val="21"/>
                <w:lang w:val="en-US" w:eastAsia="zh-CN"/>
              </w:rPr>
              <w:t>具备创新精神和创业意识、能力。</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本课程主要教学内容：1.</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的概念含义；2.</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对于人类和区域经济发展的意义；3.</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的实践活动；4.</w:t>
            </w:r>
            <w:r>
              <w:rPr>
                <w:rFonts w:hint="eastAsia" w:ascii="仿宋" w:hAnsi="仿宋" w:eastAsia="仿宋" w:cs="仿宋"/>
                <w:color w:val="000000"/>
                <w:sz w:val="21"/>
                <w:szCs w:val="21"/>
                <w:lang w:val="en-US" w:eastAsia="zh-CN"/>
              </w:rPr>
              <w:t>创新创业的政策宣讲</w:t>
            </w:r>
            <w:r>
              <w:rPr>
                <w:rFonts w:hint="eastAsia" w:ascii="仿宋" w:hAnsi="仿宋" w:eastAsia="仿宋" w:cs="仿宋"/>
                <w:color w:val="000000"/>
                <w:sz w:val="21"/>
                <w:szCs w:val="21"/>
              </w:rPr>
              <w:t>。本课程要求：采用网课、专题讲座、社会实践等方式结合的课程形式，其中网课10学时，专题讲座2学时，社会实践活动4学时。</w:t>
            </w:r>
          </w:p>
        </w:tc>
        <w:tc>
          <w:tcPr>
            <w:tcW w:w="705"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1140"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职业礼仪</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以职业素养为本位，通过课堂教学和社会实践等多种形式，使学生懂导避守礼仪规范的重要性，掌握一般的社交礼仪规范。有意识地提高自己在礼仪方面的素质和能力，为今后的职业生涯打下良好的基础。培养学生哩解、宽容、谦逊、诫恳的待人态度，有人为善、庄重大方、谈吐文雅、讲究礼貌的行为举止。培养学生的集依主义意识，集体主义荣辱观，将个人形象与集体形象的塑造紧密结舍起来。</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60"/>
              <w:jc w:val="both"/>
              <w:rPr>
                <w:rFonts w:hint="eastAsia" w:ascii="仿宋" w:hAnsi="仿宋" w:eastAsia="仿宋" w:cs="仿宋"/>
              </w:rPr>
            </w:pPr>
            <w:r>
              <w:rPr>
                <w:rFonts w:hint="eastAsia" w:ascii="仿宋" w:hAnsi="仿宋" w:eastAsia="仿宋" w:cs="仿宋"/>
                <w:color w:val="000000"/>
                <w:spacing w:val="0"/>
                <w:w w:val="100"/>
                <w:position w:val="0"/>
              </w:rPr>
              <w:t>本课程教学内容：礼仪的概述；个人形象礼仪日常交往礼仪；公共礼仪；通联礼仪；职场礼仪；家庭礼仪；餐饮礼仪;步外礼仪等。</w:t>
            </w:r>
          </w:p>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本课程教学要求:为了提高课程的针对性和有裁性，不断改进教学方法，提升教学质星，可使用情境教学、项目化教学、角色扮演、案例、实践教学法等多样性敦学手段。注重培养学生的实践能力，在理论必须够用的基础上，大星进行实践教学，使抽象的知识变成实际的技能，让学生做中学、做中教，切实提高学生素养,培养高尚的情操和良好的交际能力，促进学生职业责任感、荣誉感和内心职业信念的形成，为学生走上社会、走尙工作岗位打好基础。</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1140" w:type="dxa"/>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艺术</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坚持落实立德树人根本任务，使学生通过艺术鉴赏与实践等活动，发展艺术感知、审美判断、创意表达和文化理解等艺术核心素养。</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本课程教学内容：包含音乐、美术、舞銘、设计、工艺、残剧、影视等艺术门类的综舍性课程，与义务教育阶段艺术相关课程相衔接，具有思想性、民族性、时代性、人文性、审美性和实践性。</w:t>
            </w:r>
          </w:p>
        </w:tc>
        <w:tc>
          <w:tcPr>
            <w:tcW w:w="705" w:type="dxa"/>
            <w:noWrap w:val="0"/>
            <w:vAlign w:val="center"/>
          </w:tcPr>
          <w:p>
            <w:pPr>
              <w:pStyle w:val="7"/>
              <w:keepNext w:val="0"/>
              <w:keepLines w:val="0"/>
              <w:widowControl w:val="0"/>
              <w:shd w:val="clear" w:color="auto" w:fill="auto"/>
              <w:bidi w:val="0"/>
              <w:spacing w:before="840" w:after="0" w:line="240" w:lineRule="auto"/>
              <w:ind w:left="0" w:leftChars="0" w:right="0" w:rightChars="0" w:firstLine="22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1140"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lang w:val="en-US" w:eastAsia="zh-CN"/>
              </w:rPr>
              <w:t>中职生</w:t>
            </w:r>
            <w:r>
              <w:rPr>
                <w:rFonts w:hint="eastAsia" w:ascii="仿宋" w:hAnsi="仿宋" w:eastAsia="仿宋" w:cs="仿宋"/>
                <w:color w:val="000000"/>
                <w:spacing w:val="0"/>
                <w:w w:val="100"/>
                <w:position w:val="0"/>
              </w:rPr>
              <w:t>职业素养</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立足服务区域经济发展，以创业与就业要求为基础，培养学生良好的职业人文素养。实现个人职业生涯可持续发展，最终成为企业、行业需要的舍格高素质的技能性人才。</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6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通过学习，让学生掌握和养成好的学习习惯和学习能力、交流沟通能力、团队协作、实践能力</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rPr>
              <w:t>创造能力、就业能力</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rPr>
              <w:t>创业能力等职业通用能力,更好服务于社会，达成职业理想。</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1140"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大别山红色文化读本</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lang w:eastAsia="zh-CN"/>
              </w:rPr>
            </w:pPr>
            <w:r>
              <w:rPr>
                <w:rFonts w:hint="eastAsia" w:ascii="仿宋" w:hAnsi="仿宋" w:eastAsia="仿宋" w:cs="仿宋"/>
                <w:color w:val="000000"/>
                <w:spacing w:val="0"/>
                <w:w w:val="100"/>
                <w:position w:val="0"/>
              </w:rPr>
              <w:t>本课程主要围绕本土</w:t>
            </w:r>
            <w:r>
              <w:rPr>
                <w:rFonts w:hint="eastAsia" w:ascii="仿宋" w:hAnsi="仿宋" w:eastAsia="仿宋" w:cs="仿宋"/>
                <w:color w:val="000000"/>
                <w:spacing w:val="0"/>
                <w:w w:val="100"/>
                <w:position w:val="0"/>
                <w:lang w:val="en-US" w:eastAsia="zh-CN"/>
              </w:rPr>
              <w:t>革命经典案例，通过</w:t>
            </w:r>
            <w:r>
              <w:rPr>
                <w:rFonts w:hint="eastAsia" w:ascii="仿宋" w:hAnsi="仿宋" w:eastAsia="仿宋" w:cs="仿宋"/>
                <w:color w:val="000000"/>
                <w:spacing w:val="0"/>
                <w:w w:val="100"/>
                <w:position w:val="0"/>
              </w:rPr>
              <w:t>歌曲、</w:t>
            </w:r>
            <w:r>
              <w:rPr>
                <w:rFonts w:hint="eastAsia" w:ascii="仿宋" w:hAnsi="仿宋" w:eastAsia="仿宋" w:cs="仿宋"/>
                <w:color w:val="000000"/>
                <w:spacing w:val="0"/>
                <w:w w:val="100"/>
                <w:position w:val="0"/>
                <w:lang w:val="en-US" w:eastAsia="zh-CN"/>
              </w:rPr>
              <w:t>故事、观看影片等</w:t>
            </w:r>
            <w:r>
              <w:rPr>
                <w:rFonts w:hint="eastAsia" w:ascii="仿宋" w:hAnsi="仿宋" w:eastAsia="仿宋" w:cs="仿宋"/>
                <w:color w:val="000000"/>
                <w:spacing w:val="0"/>
                <w:w w:val="100"/>
                <w:position w:val="0"/>
              </w:rPr>
              <w:t>及书本中</w:t>
            </w:r>
            <w:r>
              <w:rPr>
                <w:rFonts w:hint="eastAsia" w:ascii="仿宋" w:hAnsi="仿宋" w:eastAsia="仿宋" w:cs="仿宋"/>
                <w:color w:val="000000"/>
                <w:spacing w:val="0"/>
                <w:w w:val="100"/>
                <w:position w:val="0"/>
                <w:lang w:val="en-US" w:eastAsia="zh-CN"/>
              </w:rPr>
              <w:t>红色</w:t>
            </w:r>
            <w:r>
              <w:rPr>
                <w:rFonts w:hint="eastAsia" w:ascii="仿宋" w:hAnsi="仿宋" w:eastAsia="仿宋" w:cs="仿宋"/>
                <w:color w:val="000000"/>
                <w:spacing w:val="0"/>
                <w:w w:val="100"/>
                <w:position w:val="0"/>
              </w:rPr>
              <w:t>地方知识进行学习。让学生在</w:t>
            </w:r>
            <w:r>
              <w:rPr>
                <w:rFonts w:hint="eastAsia" w:ascii="仿宋" w:hAnsi="仿宋" w:eastAsia="仿宋" w:cs="仿宋"/>
                <w:color w:val="000000"/>
                <w:spacing w:val="0"/>
                <w:w w:val="100"/>
                <w:position w:val="0"/>
                <w:lang w:val="en-US" w:eastAsia="zh-CN"/>
              </w:rPr>
              <w:t>学习</w:t>
            </w:r>
            <w:r>
              <w:rPr>
                <w:rFonts w:hint="eastAsia" w:ascii="仿宋" w:hAnsi="仿宋" w:eastAsia="仿宋" w:cs="仿宋"/>
                <w:color w:val="000000"/>
                <w:spacing w:val="0"/>
                <w:w w:val="100"/>
                <w:position w:val="0"/>
              </w:rPr>
              <w:t>的过程中，培养学生的爰国主义情怀，了解和掌握本地方民族文化知识</w:t>
            </w:r>
            <w:r>
              <w:rPr>
                <w:rFonts w:hint="eastAsia" w:ascii="仿宋" w:hAnsi="仿宋" w:eastAsia="仿宋" w:cs="仿宋"/>
                <w:color w:val="000000"/>
                <w:spacing w:val="0"/>
                <w:w w:val="100"/>
                <w:position w:val="0"/>
                <w:lang w:eastAsia="zh-CN"/>
              </w:rPr>
              <w:t>。</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通过学习，使学生的情感世界受到感染和黛陶，通过対</w:t>
            </w:r>
            <w:r>
              <w:rPr>
                <w:rFonts w:hint="eastAsia" w:ascii="仿宋" w:hAnsi="仿宋" w:eastAsia="仿宋" w:cs="仿宋"/>
                <w:color w:val="000000"/>
                <w:spacing w:val="0"/>
                <w:w w:val="100"/>
                <w:position w:val="0"/>
                <w:lang w:val="en-US" w:eastAsia="zh-CN"/>
              </w:rPr>
              <w:t>革命历史事件的学习，</w:t>
            </w:r>
            <w:r>
              <w:rPr>
                <w:rFonts w:hint="eastAsia" w:ascii="仿宋" w:hAnsi="仿宋" w:eastAsia="仿宋" w:cs="仿宋"/>
                <w:color w:val="000000"/>
                <w:spacing w:val="0"/>
                <w:w w:val="100"/>
                <w:position w:val="0"/>
              </w:rPr>
              <w:t>思想倾尙、人文内涵的感受和理解，培养学生</w:t>
            </w:r>
            <w:r>
              <w:rPr>
                <w:rFonts w:hint="eastAsia" w:ascii="仿宋" w:hAnsi="仿宋" w:eastAsia="仿宋" w:cs="仿宋"/>
                <w:color w:val="000000"/>
                <w:spacing w:val="0"/>
                <w:w w:val="100"/>
                <w:position w:val="0"/>
                <w:lang w:val="en-US" w:eastAsia="zh-CN"/>
              </w:rPr>
              <w:t>爱国主义精神</w:t>
            </w:r>
            <w:r>
              <w:rPr>
                <w:rFonts w:hint="eastAsia" w:ascii="仿宋" w:hAnsi="仿宋" w:eastAsia="仿宋" w:cs="仿宋"/>
                <w:color w:val="000000"/>
                <w:spacing w:val="0"/>
                <w:w w:val="100"/>
                <w:position w:val="0"/>
              </w:rPr>
              <w:t>，</w:t>
            </w:r>
            <w:r>
              <w:rPr>
                <w:rFonts w:hint="eastAsia" w:ascii="仿宋" w:hAnsi="仿宋" w:eastAsia="仿宋" w:cs="仿宋"/>
                <w:color w:val="000000"/>
                <w:spacing w:val="0"/>
                <w:w w:val="100"/>
                <w:position w:val="0"/>
                <w:lang w:val="en-US" w:eastAsia="zh-CN"/>
              </w:rPr>
              <w:t>树立社会主义核心价值观感受革命的艰辛，更加珍惜现在的幸福生活。</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1140"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中华优秀传统文化</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该课程以弘扬中华优秀传统文化为宗旨，通过対中华传统文化进行提纲挈领的通俗介绍，让学生在阅读过程中感知中华传统文化的博大精采，増强其民族文化认同感和民族自我感。</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通过该课程学习帮助学生树立正确的传统文化观念，対他们形成正确的世界观、人生观和价値观起到积极作用。</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c>
          <w:tcPr>
            <w:tcW w:w="1140" w:type="dxa"/>
            <w:noWrap w:val="0"/>
            <w:vAlign w:val="center"/>
          </w:tcPr>
          <w:p>
            <w:pPr>
              <w:pStyle w:val="7"/>
              <w:keepNext w:val="0"/>
              <w:keepLines w:val="0"/>
              <w:widowControl w:val="0"/>
              <w:shd w:val="clear" w:color="auto" w:fill="auto"/>
              <w:bidi w:val="0"/>
              <w:spacing w:before="0" w:after="120" w:line="240" w:lineRule="auto"/>
              <w:ind w:left="0" w:right="0" w:firstLine="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法律基础知识</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在学校学习中和初涉社会时与学习、生活、就业等诸多方面密切相关的法律理论、知识和规定进行编</w:t>
            </w:r>
            <w:r>
              <w:rPr>
                <w:rFonts w:hint="eastAsia" w:ascii="仿宋" w:hAnsi="仿宋" w:eastAsia="仿宋" w:cs="仿宋"/>
                <w:color w:val="000000"/>
                <w:spacing w:val="0"/>
                <w:w w:val="100"/>
                <w:position w:val="0"/>
                <w:lang w:val="en-US" w:eastAsia="en-US" w:bidi="en-US"/>
              </w:rPr>
              <w:t>*</w:t>
            </w:r>
            <w:r>
              <w:rPr>
                <w:rFonts w:hint="eastAsia" w:ascii="仿宋" w:hAnsi="仿宋" w:eastAsia="仿宋" w:cs="仿宋"/>
                <w:color w:val="000000"/>
                <w:spacing w:val="0"/>
                <w:w w:val="100"/>
                <w:position w:val="0"/>
              </w:rPr>
              <w:t>本书编写目的是通过相关法学理论和法律实务的教育与指导，普及基本法律知识，解决实际法律冋觐，</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通过该课程学习提升学生整体法律素养，使学生能够真正懂法、守法和用法，自觉维护国家、社会和集体的利益以及自身的舍法权益，逐步成为符舍社会主义法台社会要求的舍格公民。</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w:t>
            </w:r>
          </w:p>
        </w:tc>
        <w:tc>
          <w:tcPr>
            <w:tcW w:w="1140" w:type="dxa"/>
            <w:noWrap w:val="0"/>
            <w:vAlign w:val="center"/>
          </w:tcPr>
          <w:p>
            <w:pPr>
              <w:pStyle w:val="7"/>
              <w:keepNext w:val="0"/>
              <w:keepLines w:val="0"/>
              <w:widowControl w:val="0"/>
              <w:shd w:val="clear" w:color="auto" w:fill="auto"/>
              <w:bidi w:val="0"/>
              <w:spacing w:before="0" w:after="140" w:line="240" w:lineRule="auto"/>
              <w:ind w:left="0" w:right="0" w:firstLine="0"/>
              <w:jc w:val="center"/>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工匠精神</w:t>
            </w:r>
            <w:r>
              <w:rPr>
                <w:rFonts w:hint="eastAsia" w:ascii="仿宋" w:hAnsi="仿宋" w:eastAsia="仿宋" w:cs="仿宋"/>
                <w:color w:val="000000"/>
                <w:spacing w:val="0"/>
                <w:w w:val="100"/>
                <w:position w:val="0"/>
                <w:lang w:val="en-US" w:eastAsia="zh-CN"/>
              </w:rPr>
              <w:t>读本</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从工匠精神次被写进政府工作报吿，到</w:t>
            </w:r>
            <w:r>
              <w:rPr>
                <w:rFonts w:hint="eastAsia" w:ascii="仿宋" w:hAnsi="仿宋" w:eastAsia="仿宋" w:cs="仿宋"/>
                <w:color w:val="000000"/>
                <w:spacing w:val="0"/>
                <w:w w:val="100"/>
                <w:position w:val="0"/>
                <w:lang w:val="en-US" w:eastAsia="zh-CN"/>
              </w:rPr>
              <w:t>国家</w:t>
            </w:r>
            <w:r>
              <w:rPr>
                <w:rFonts w:hint="eastAsia" w:ascii="仿宋" w:hAnsi="仿宋" w:eastAsia="仿宋" w:cs="仿宋"/>
                <w:color w:val="000000"/>
                <w:spacing w:val="0"/>
                <w:w w:val="100"/>
                <w:position w:val="0"/>
              </w:rPr>
              <w:t>规划和十九大报吿中对工匠精神的一再强调，表明工匠精神已经成为一种广泛的社会导尙精益求精、认真负责、锐意进取、改革创新的工匠精神。</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通过该课程学习学生深刻认识匠精神的社会价值和素质教育导尙，工匠精神、劳动精神、动手能力、专注力和毅力、耐力，具有很强的感化作用。</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1140"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中国书法</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激发学生的学习性趣，以使学生掌握书法的学习方法和提高实际书写能力、提高学生的综舍人文素质为目标，教学中以理论结舍实践而重实的原则进行，力求为学生以后的专业发展奠定基础。</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学生了解书法艺术的性质、特点；了解书法历史概况；了雑主要书体的艺术特点和书写技法;掌握书法美学的基础理论，鉴赏书法作品的一般原则和方法。以培养感受书法美的敏感，提高书法审美水平。</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w:t>
            </w:r>
          </w:p>
        </w:tc>
        <w:tc>
          <w:tcPr>
            <w:tcW w:w="1140"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国防</w:t>
            </w:r>
            <w:r>
              <w:rPr>
                <w:rFonts w:hint="eastAsia" w:ascii="仿宋" w:hAnsi="仿宋" w:eastAsia="仿宋" w:cs="仿宋"/>
                <w:color w:val="000000"/>
                <w:spacing w:val="0"/>
                <w:w w:val="100"/>
                <w:position w:val="0"/>
                <w:lang w:val="en-US" w:eastAsia="zh-CN"/>
              </w:rPr>
              <w:t>教</w:t>
            </w:r>
            <w:r>
              <w:rPr>
                <w:rFonts w:hint="eastAsia" w:ascii="仿宋" w:hAnsi="仿宋" w:eastAsia="仿宋" w:cs="仿宋"/>
                <w:color w:val="000000"/>
                <w:spacing w:val="0"/>
                <w:w w:val="100"/>
                <w:position w:val="0"/>
              </w:rPr>
              <w:t>育</w:t>
            </w:r>
          </w:p>
        </w:tc>
        <w:tc>
          <w:tcPr>
            <w:tcW w:w="3213"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通过本课程的学习，掌握基本军事知识与军事技能；増强国防观念和国家安全意识；强化爰国主义、集</w:t>
            </w:r>
            <w:r>
              <w:rPr>
                <w:rFonts w:hint="eastAsia" w:ascii="仿宋" w:hAnsi="仿宋" w:eastAsia="仿宋" w:cs="仿宋"/>
                <w:color w:val="000000"/>
                <w:spacing w:val="0"/>
                <w:w w:val="100"/>
                <w:position w:val="0"/>
                <w:lang w:val="zh-CN" w:eastAsia="zh-CN" w:bidi="zh-CN"/>
              </w:rPr>
              <w:t>依主</w:t>
            </w:r>
            <w:r>
              <w:rPr>
                <w:rFonts w:hint="eastAsia" w:ascii="仿宋" w:hAnsi="仿宋" w:eastAsia="仿宋" w:cs="仿宋"/>
                <w:color w:val="000000"/>
                <w:spacing w:val="0"/>
                <w:w w:val="100"/>
                <w:position w:val="0"/>
              </w:rPr>
              <w:t>义和革命英雄主义观念；提高组织纪律性。</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b w:val="0"/>
                <w:bCs w:val="0"/>
              </w:rPr>
            </w:pPr>
            <w:r>
              <w:rPr>
                <w:rFonts w:hint="eastAsia" w:ascii="仿宋" w:hAnsi="仿宋" w:eastAsia="仿宋" w:cs="仿宋"/>
                <w:b w:val="0"/>
                <w:bCs w:val="0"/>
                <w:color w:val="000000"/>
                <w:spacing w:val="0"/>
                <w:w w:val="100"/>
                <w:position w:val="0"/>
              </w:rPr>
              <w:t>主要教学内容：</w:t>
            </w:r>
            <w:r>
              <w:rPr>
                <w:rFonts w:hint="eastAsia" w:ascii="仿宋" w:hAnsi="仿宋" w:eastAsia="仿宋" w:cs="仿宋"/>
                <w:b w:val="0"/>
                <w:bCs w:val="0"/>
                <w:color w:val="000000"/>
                <w:spacing w:val="0"/>
                <w:w w:val="100"/>
                <w:position w:val="0"/>
                <w:sz w:val="18"/>
                <w:szCs w:val="18"/>
              </w:rPr>
              <w:t>1</w:t>
            </w:r>
            <w:r>
              <w:rPr>
                <w:rFonts w:hint="eastAsia" w:ascii="仿宋" w:hAnsi="仿宋" w:eastAsia="仿宋" w:cs="仿宋"/>
                <w:b w:val="0"/>
                <w:bCs w:val="0"/>
                <w:color w:val="000000"/>
                <w:spacing w:val="0"/>
                <w:w w:val="100"/>
                <w:position w:val="0"/>
              </w:rPr>
              <w:t>.集中训练：《内务条令》、《纪律条令》、《队列条令》＜育训练；单兵基本战术训练；战地救护反自救。</w:t>
            </w:r>
            <w:r>
              <w:rPr>
                <w:rFonts w:hint="eastAsia" w:ascii="仿宋" w:hAnsi="仿宋" w:eastAsia="仿宋" w:cs="仿宋"/>
                <w:b w:val="0"/>
                <w:bCs w:val="0"/>
                <w:color w:val="000000"/>
                <w:spacing w:val="0"/>
                <w:w w:val="100"/>
                <w:position w:val="0"/>
                <w:sz w:val="18"/>
                <w:szCs w:val="18"/>
              </w:rPr>
              <w:t>2,</w:t>
            </w:r>
            <w:r>
              <w:rPr>
                <w:rFonts w:hint="eastAsia" w:ascii="仿宋" w:hAnsi="仿宋" w:eastAsia="仿宋" w:cs="仿宋"/>
                <w:b w:val="0"/>
                <w:bCs w:val="0"/>
                <w:color w:val="000000"/>
                <w:spacing w:val="0"/>
                <w:w w:val="100"/>
                <w:position w:val="0"/>
              </w:rPr>
              <w:t>知识讲座：我国国防政策与法规；中国人民解勲军的性质、宗旨和光荣传统；现代军事科技与高技术战争。</w:t>
            </w:r>
          </w:p>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b w:val="0"/>
                <w:bCs w:val="0"/>
                <w:color w:val="000000"/>
                <w:spacing w:val="0"/>
                <w:w w:val="100"/>
                <w:position w:val="0"/>
              </w:rPr>
              <w:t>要求由学校和具备军训資质的单位共同组织实施;集中训练课时不低于总课时的</w:t>
            </w:r>
            <w:r>
              <w:rPr>
                <w:rFonts w:hint="eastAsia" w:ascii="仿宋" w:hAnsi="仿宋" w:eastAsia="仿宋" w:cs="仿宋"/>
                <w:b w:val="0"/>
                <w:bCs w:val="0"/>
                <w:color w:val="000000"/>
                <w:spacing w:val="0"/>
                <w:w w:val="100"/>
                <w:position w:val="0"/>
                <w:sz w:val="18"/>
                <w:szCs w:val="18"/>
              </w:rPr>
              <w:t>8</w:t>
            </w:r>
            <w:r>
              <w:rPr>
                <w:rFonts w:hint="eastAsia" w:ascii="仿宋" w:hAnsi="仿宋" w:eastAsia="仿宋" w:cs="仿宋"/>
                <w:b w:val="0"/>
                <w:bCs w:val="0"/>
                <w:color w:val="000000"/>
                <w:spacing w:val="0"/>
                <w:w w:val="100"/>
                <w:position w:val="0"/>
                <w:sz w:val="18"/>
                <w:szCs w:val="18"/>
                <w:lang w:val="en-US" w:eastAsia="zh-CN"/>
              </w:rPr>
              <w:t>学时</w:t>
            </w:r>
            <w:r>
              <w:rPr>
                <w:rFonts w:hint="eastAsia" w:ascii="仿宋" w:hAnsi="仿宋" w:eastAsia="仿宋" w:cs="仿宋"/>
                <w:b w:val="0"/>
                <w:bCs w:val="0"/>
                <w:color w:val="000000"/>
                <w:spacing w:val="0"/>
                <w:w w:val="100"/>
                <w:position w:val="0"/>
              </w:rPr>
              <w:t>；示范教学，集中训练，循序渐进。</w:t>
            </w:r>
          </w:p>
        </w:tc>
        <w:tc>
          <w:tcPr>
            <w:tcW w:w="705" w:type="dxa"/>
            <w:noWrap w:val="0"/>
            <w:vAlign w:val="center"/>
          </w:tcPr>
          <w:p>
            <w:pPr>
              <w:jc w:val="center"/>
              <w:rPr>
                <w:rFonts w:hint="eastAsia" w:ascii="仿宋" w:hAnsi="仿宋" w:eastAsia="仿宋" w:cs="仿宋"/>
                <w:color w:val="000000"/>
                <w:sz w:val="21"/>
                <w:szCs w:val="21"/>
              </w:rPr>
            </w:pPr>
          </w:p>
        </w:tc>
      </w:tr>
    </w:tbl>
    <w:p>
      <w:pPr>
        <w:overflowPunct w:val="0"/>
        <w:adjustRightInd w:val="0"/>
        <w:rPr>
          <w:rFonts w:eastAsia="方正仿宋简体"/>
          <w:color w:val="FF0000"/>
        </w:rPr>
      </w:pPr>
    </w:p>
    <w:p>
      <w:pPr>
        <w:overflowPunct w:val="0"/>
        <w:adjustRightInd w:val="0"/>
        <w:ind w:firstLine="480" w:firstLineChars="200"/>
        <w:outlineLvl w:val="0"/>
        <w:rPr>
          <w:rFonts w:eastAsia="楷体_GB2312"/>
          <w:b/>
          <w:sz w:val="24"/>
          <w:szCs w:val="24"/>
        </w:rPr>
      </w:pPr>
      <w:r>
        <w:rPr>
          <w:rFonts w:eastAsia="楷体_GB2312"/>
          <w:b/>
          <w:sz w:val="24"/>
          <w:szCs w:val="24"/>
        </w:rPr>
        <w:t>（二）专业（技能）课程</w:t>
      </w:r>
    </w:p>
    <w:tbl>
      <w:tblPr>
        <w:tblStyle w:val="4"/>
        <w:tblW w:w="949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25"/>
        <w:gridCol w:w="3228"/>
        <w:gridCol w:w="3822"/>
        <w:gridCol w:w="675"/>
      </w:tblGrid>
      <w:tr>
        <w:trPr>
          <w:trHeight w:val="447" w:hRule="atLeast"/>
        </w:trPr>
        <w:tc>
          <w:tcPr>
            <w:tcW w:w="64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12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课程名称</w:t>
            </w:r>
          </w:p>
        </w:tc>
        <w:tc>
          <w:tcPr>
            <w:tcW w:w="3228"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课程目标</w:t>
            </w:r>
          </w:p>
        </w:tc>
        <w:tc>
          <w:tcPr>
            <w:tcW w:w="3822"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主要教学内容和要求</w:t>
            </w:r>
          </w:p>
        </w:tc>
        <w:tc>
          <w:tcPr>
            <w:tcW w:w="67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参考学时</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w:t>
            </w:r>
          </w:p>
        </w:tc>
        <w:tc>
          <w:tcPr>
            <w:tcW w:w="1125"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烹饪概论</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了解、掌握中国烹饪的简史、原理，中国菜品和风味流派、筵宴，使学生懂得中国传统饮食思想与哲理。</w:t>
            </w:r>
          </w:p>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熟悉中国饮食文化和饮食民俗，使学生体会到我国人民在数千年的发展历史中所形成的饮食思想、饮食观念、审美情趣和生活态度。</w:t>
            </w:r>
          </w:p>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了解当代烹饪市场的发展情况,使学生对烹饪专业知识有个提纲挈领的全面了解，为进一步学习专业知识打下基础。</w:t>
            </w:r>
          </w:p>
          <w:p>
            <w:pPr>
              <w:jc w:val="both"/>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能够掌握中国烹饪工艺的特点、流程和要素。能够掌握中国烹饪不同风味流派的特点和代表菜点。能够体会我国人民在数千年的发展历史中所形成的饮食思想、饮食观念、审美情趣和生活态度。能够掌握中国筵宴的概念、特点、种类、规格、环节和饮食构成。</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了解中国烹饪的悠久历史和发展，熟悉烹饪地域的全面性和文化传承的系统性，掌握相关烹饪理论知识、中国烹饪风味流派、各类菜品及特色。</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2</w:t>
            </w:r>
          </w:p>
        </w:tc>
        <w:tc>
          <w:tcPr>
            <w:tcW w:w="1125"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烹饪原料知识</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了解常用烹饪原料的名称、产地</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产季、营养特点;熟悉常用烹饪原料的品质特点:掌握常用烹饪原料的品质鉴别依据和标准、烹饪应用方法.</w:t>
            </w:r>
            <w:r>
              <w:rPr>
                <w:rFonts w:hint="eastAsia" w:ascii="仿宋" w:hAnsi="仿宋" w:eastAsia="仿宋" w:cs="仿宋"/>
                <w:b w:val="0"/>
                <w:bCs/>
                <w:color w:val="000000"/>
                <w:sz w:val="20"/>
                <w:szCs w:val="20"/>
                <w:lang w:val="en-US" w:eastAsia="zh-CN"/>
              </w:rPr>
              <w:t>熟练掌握常用烹饪原料的品质鉴定方法和烹饪应用</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使学生了解烹饪原料的种类及基本性质;熟悉主要原料品种的产地、上市季节、烹饪中的应用及河北名特烹饪原料知识,并掌握主要烹饪应用。</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3</w:t>
            </w:r>
          </w:p>
        </w:tc>
        <w:tc>
          <w:tcPr>
            <w:tcW w:w="1125"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中式烹调技艺</w:t>
            </w:r>
          </w:p>
        </w:tc>
        <w:tc>
          <w:tcPr>
            <w:tcW w:w="3228" w:type="dxa"/>
            <w:noWrap w:val="0"/>
            <w:vAlign w:val="center"/>
          </w:tcPr>
          <w:p>
            <w:pPr>
              <w:jc w:val="center"/>
              <w:rPr>
                <w:rFonts w:hint="eastAsia" w:ascii="仿宋" w:hAnsi="仿宋" w:eastAsia="仿宋" w:cs="仿宋"/>
                <w:b w:val="0"/>
                <w:bCs/>
                <w:color w:val="000000"/>
                <w:sz w:val="20"/>
                <w:szCs w:val="20"/>
                <w:lang w:eastAsia="zh-CN"/>
              </w:rPr>
            </w:pPr>
            <w:r>
              <w:rPr>
                <w:rFonts w:hint="eastAsia" w:ascii="仿宋" w:hAnsi="仿宋" w:eastAsia="仿宋" w:cs="仿宋"/>
                <w:b w:val="0"/>
                <w:bCs/>
                <w:color w:val="000000"/>
                <w:sz w:val="20"/>
                <w:szCs w:val="20"/>
              </w:rPr>
              <w:t>了解中国烹调发展概况和主要地方风味流派的特点</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熟悉烹调操作原理及要求</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理解干货原料涨发和汤汁形成的基本原理</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掌握中试烹调方法的基础知识</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掌握烹饪原料加工处理方法和成型质量标准</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熟悉菜肴制作的工艺流程和技术关键</w:t>
            </w:r>
            <w:r>
              <w:rPr>
                <w:rFonts w:hint="eastAsia" w:ascii="仿宋" w:hAnsi="仿宋" w:eastAsia="仿宋" w:cs="仿宋"/>
                <w:b w:val="0"/>
                <w:bCs/>
                <w:color w:val="000000"/>
                <w:sz w:val="20"/>
                <w:szCs w:val="20"/>
                <w:lang w:eastAsia="zh-CN"/>
              </w:rPr>
              <w:t>；</w:t>
            </w:r>
          </w:p>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掌握常用烹调方法和分类，运用烹调基础知识加工制作菜肴</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熟练运用烹调基础知识和基本能力，设计、制作一般筵席菜肴。</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让学生掌握原料的选择，原料的初加工与精加工，菜肴的组配，热处理的原理与应用，风味调配的原理与应用，各种烹调方法，菜肴的盛装与美化，菜品的开发与创新；实践包括各大菜系经典名菜烹调操作训练、涵盖各种烹调技法、识别油温、控制火候、味型调配、盘式围边、果酱画及冷菜制作和食品雕刻等。进一步了解烹调技艺的理论知识，熟悉烹调技艺的系统内容，掌握专业技术和操作要领，为全面、熟练掌握烹调综合技能、进行烹饪创新及熟悉胜任实践岗位打下基础。</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4</w:t>
            </w:r>
          </w:p>
        </w:tc>
        <w:tc>
          <w:tcPr>
            <w:tcW w:w="1125"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中式面点技艺</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使学生具备饮食业高素质技术人才所必需的中式面点制作基础知</w:t>
            </w:r>
          </w:p>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识和基本技能;熟练掌握中式面点制作程序和操作技能;使学生具备运用所学知识解决实际问题的能力，达到中级面点师的理论水平;了解面点制作的发展概况及其在饮含业中的重要作用;掌握面点分类及各地风味特点;掌握面点制作技艺从原料、面团调制到成型、成熟的基础知识。</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了解中式面点制作基本操作技能的内容及技术规律和特点；掌握面点操作蒸、煮、烤、烙、炸、煎、炒操作技能和操作要领；能满足面点岗位要求；会不同面点品种的制作技能和技巧提升就业能力</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5</w:t>
            </w:r>
          </w:p>
        </w:tc>
        <w:tc>
          <w:tcPr>
            <w:tcW w:w="1125"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中餐烹饪基本功训练（刀工）</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本课程在教学过程中紧密围绕国家职业技能鉴定实施，始终坚持理论与实践一体化教学，但又以模块的形式突出实践为中心的教学特点。使学生通过观察和实训，掌握常用刀具、磨石及菜墩的使用;刀工的基本操作姿势;直刀法、平刀法、斜刀法、混合刀法使用及加工方法:原料成形刀法和在烹饪中应用。了解刀工技术在烹饪技术中所起的作用和刀法发展趋势。为培养烹饪专业技术人才打下良好的基本功技术。最终为社会培养合格的烹饪专业技术人才。</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通过演示+实训，使学生能熟练掌握中式面点的成型手法和制熟方法。熟练掌握各种基础技能技巧，并能在以后的实际操作过程中熟练运用</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144</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6</w:t>
            </w:r>
          </w:p>
        </w:tc>
        <w:tc>
          <w:tcPr>
            <w:tcW w:w="1125"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中餐烹饪基本功训练（勺工）</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本课程的教学目标是:使学生具备饮食行业高素质劳动者所需的基础知识和基本技能。为他们进一步学习相关专业知识和应用新技术打下基础。通过本课程的教学使学生达到中级中式烹调师的理论知识水平。</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通过演示+实训，使学生能熟练掌握中式面点的成型手法和制熟方法。熟练掌握各种基础技能技巧，并能在以后的实际操作过程中熟练运用</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144</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7</w:t>
            </w:r>
          </w:p>
        </w:tc>
        <w:tc>
          <w:tcPr>
            <w:tcW w:w="1125"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中式面点基本功训练</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本课程的教学目标是:使学生具备饮食业高素质技术人才所必需的中式面点制作基础知识和基本技能， 熟练掌握中式面点制作程序和操作技能，使学生具备运用所学知识解决实际问题的能力，达到中级面点师的理论水平。</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了解中式面点制作基本操作技能的内容及技术规律和特点；掌握面点操作蒸、煮、烤、烙、炸、煎、炒操作技能和操作要领；能满足面点岗位要求；会不同面点品种的制作技能和技巧提升就业能力</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144</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8</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食品雕刻艺术</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通过本课程的学习，使学生了解食品雕刻基本知识、原理和方法，了解有关食品雕刻规范，熟悉食品雕刻的全讨程，学会各工种的食品雕刻工艺和安全技术，以便毕业后能够比较好地适应烹饪现场操作的需要。</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通过演示+实训，使学生掌握一定的艺术造型能力，能熟练掌握果蔬花卉，鸟类、兽类的雕刻方法。</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144</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9</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中餐热菜制作</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本课程的教学目标是: 使学生具备烹饪行业高素质劳动者所必需的热菜烹调技艺， 熟练掌握刀功基础、火候、调味和常用的热菜烹调技法:具备设计、制作宴席、制作一定数量的风味菜、特色菜的娴熟技能和一定的菜肴创新能力。</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通过演示+实训，使学生能掌握从原料的选料，初加工，组配，味型以及烹饪不同的烹饪技法上对热菜制作进行系统的学习并举一反三，达到在烹饪过程中的熟练运用和开发。</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72</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10</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冷菜制作工艺</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通过模块化教学活动，使学生具备餐饮行业工作者所必需的冷菜、冷拼的基础知识和基本技能，掌握宴会冷菜、冷拼制作</w:t>
            </w:r>
            <w:r>
              <w:rPr>
                <w:rFonts w:hint="eastAsia" w:ascii="仿宋" w:hAnsi="仿宋" w:eastAsia="仿宋" w:cs="仿宋"/>
                <w:b w:val="0"/>
                <w:bCs/>
                <w:color w:val="000000"/>
                <w:sz w:val="20"/>
                <w:szCs w:val="20"/>
                <w:lang w:val="en-US" w:eastAsia="zh-CN"/>
              </w:rPr>
              <w:t>技术</w:t>
            </w:r>
            <w:r>
              <w:rPr>
                <w:rFonts w:hint="eastAsia" w:ascii="仿宋" w:hAnsi="仿宋" w:eastAsia="仿宋" w:cs="仿宋"/>
                <w:b w:val="0"/>
                <w:bCs/>
                <w:color w:val="000000"/>
                <w:sz w:val="20"/>
                <w:szCs w:val="20"/>
              </w:rPr>
              <w:t>，使学生具备适应市场需要的专业技术。培养学生爱岗敬业、踏实肯干的职 业精神。</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通过演示+实训，使学生系统掌握冷菜常用的烹调技法，常见24种味型的组配等，能熟练掌握凉菜的制作。</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72</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11</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艺术拼盘</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使学生能熟练掌握平面拼盘，立体拼盘及围碟制作，对盘面的构思，色彩的搭配，拼摆的手法以及刀工刀面的处理上做到熟练运用</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通过演示+实训，使学生能熟练掌握平面拼盘，立体拼盘及围碟制作，对盘面的构思，色彩的搭配，拼摆的手法以及刀工刀面的处理上做到熟练运用</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72</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12</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中式面点制作</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使学生从整体上对中式面点制作的工艺流程有初步的认识，了解中式面点制作相差的专业理论，掌握中式面点制作的操作技能，培养学生具备中点制作的基本职业能力。</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通过演示+实训，对中式面点的基本操作及手法进行系统学习，通过面团的分类和制熟方法等方面进行训练等</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36</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13</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中华传统文化</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val="en-US" w:eastAsia="zh-CN"/>
              </w:rPr>
              <w:t>通过学习，最终培养学生对民族文化的温情与敬意，增强民族责任感，树立正确的理想和价值取向，提高审美情趣和人文素质，使他们成为全面发展的人</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val="en-US"/>
              </w:rPr>
              <w:t>课程主要内容包括</w:t>
            </w:r>
            <w:r>
              <w:rPr>
                <w:rFonts w:hint="eastAsia" w:ascii="仿宋" w:hAnsi="仿宋" w:eastAsia="仿宋" w:cs="仿宋"/>
                <w:b w:val="0"/>
                <w:bCs/>
                <w:color w:val="000000"/>
                <w:sz w:val="20"/>
                <w:szCs w:val="20"/>
                <w:lang w:val="en-US" w:eastAsia="zh-CN"/>
              </w:rPr>
              <w:t>：绪论、中国文化的历史地理环境、中国文化值根的经济基础、物质生产民俗、中国文化依赖的政治结构。本课程的培养目标是帮助学生了解和认识中华传统文化的优秀要素，熟悉中国传统思维模式，学习中华传统美德，体悟中华民族品格；启迪学生热爱祖国、热爱民族文化；引导学生汲取中华民族智慧，传承中华民族精神，完善人格，深化家国情怀，增强民族自信心、自尊心、自豪感，弘扬中国价值；从而助推学生人文素养、职业素养和专业素养的全面发展。</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36</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14</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中外民俗</w:t>
            </w:r>
          </w:p>
        </w:tc>
        <w:tc>
          <w:tcPr>
            <w:tcW w:w="3228" w:type="dxa"/>
            <w:noWrap w:val="0"/>
            <w:vAlign w:val="center"/>
          </w:tcPr>
          <w:p>
            <w:pPr>
              <w:jc w:val="center"/>
              <w:rPr>
                <w:rFonts w:hint="eastAsia" w:ascii="仿宋" w:hAnsi="仿宋" w:eastAsia="仿宋" w:cs="仿宋"/>
                <w:b w:val="0"/>
                <w:bCs/>
                <w:color w:val="000000"/>
                <w:sz w:val="20"/>
                <w:szCs w:val="20"/>
                <w:lang w:val="en-US"/>
              </w:rPr>
            </w:pPr>
            <w:r>
              <w:rPr>
                <w:rFonts w:hint="eastAsia" w:ascii="仿宋" w:hAnsi="仿宋" w:eastAsia="仿宋" w:cs="仿宋"/>
                <w:b w:val="0"/>
                <w:bCs/>
                <w:color w:val="000000"/>
                <w:sz w:val="20"/>
                <w:szCs w:val="20"/>
                <w:lang w:val="en-US"/>
              </w:rPr>
              <w:t>本课程具有鲜明的民族性和丰富的知识性，通过民俗和旅游的有 机结合，将国内外各民族的民俗事象呈现给学生，使学生初步掌握民 俗的基本知识和内容，为学生优质完成酒店服务工作、搭建良好的社会人脉网做好淮备。其目标是培养具有良好的职业道德和素养，具备一定</w:t>
            </w:r>
          </w:p>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val="en-US"/>
              </w:rPr>
              <w:t>民俗知识的高素质人才。</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val="en-US"/>
              </w:rPr>
              <w:t>课程主要内容包括</w:t>
            </w:r>
            <w:r>
              <w:rPr>
                <w:rFonts w:hint="eastAsia" w:ascii="仿宋" w:hAnsi="仿宋" w:eastAsia="仿宋" w:cs="仿宋"/>
                <w:b w:val="0"/>
                <w:bCs/>
                <w:color w:val="000000"/>
                <w:sz w:val="20"/>
                <w:szCs w:val="20"/>
                <w:lang w:val="en-US" w:eastAsia="zh-CN"/>
              </w:rPr>
              <w:t>：民俗绪论、饮食民俗、茶艺民俗、酒水民俗、服饰民俗、居住民俗、人生礼仪民俗理解和掌握民俗文化的类型、特征。理解和掌握民俗文化与社区发展的关系。理解和掌握建筑、饮食、服饰、生产等民俗文化的区域性特征并能做出对比。理解和掌握全球性现代化进程中的民俗文化转型与文化多样性问题。了解联合国教科文组织有关民俗文化的公约及相关内容。</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15</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旅游地理</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val="en-US"/>
              </w:rPr>
              <w:t>通过本课程的学习，使学生掌握旅游地理学基础理论，并能运用于指导旅游市场的开拓，旅游资源的保护，当地旅游业的发展，促进旅游业可持续发展。</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lang w:val="en-US"/>
              </w:rPr>
              <w:t>课程主要内容包括</w:t>
            </w:r>
            <w:r>
              <w:rPr>
                <w:rFonts w:hint="eastAsia" w:ascii="仿宋" w:hAnsi="仿宋" w:eastAsia="仿宋" w:cs="仿宋"/>
                <w:b w:val="0"/>
                <w:bCs/>
                <w:color w:val="000000"/>
                <w:sz w:val="20"/>
                <w:szCs w:val="20"/>
                <w:lang w:val="en-US" w:eastAsia="zh-CN"/>
              </w:rPr>
              <w:t>：旅游地理学的研究对象、旅游地理学的研究内容、与相关学科的关系。通过介绍旅游地理学的基本理论、研究内容和科学体系，以便学生了解人类旅游活动与地理环境的关系, 从而为学习和研究人类的旅游活动提供必要的理论和方法；全面了解旅游地理学及其发展动态，认识人类旅游活动的生产和发展规律及其与地理环境的关系，理解旅游地理学的研究内容、任务、特点和方法，掌握旅游地理学的基本原理、方法和技能；</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90</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16</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西点工艺与实训</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使学生系统地接受烹调职业、技能的训练，了解西式面点的选料、制作工艺原理和基本制作手法等相关知识。通过教师示范和学生动手操作，使学生具备基本的操作能力，能独立制作一些典型的西式面点;提高在西式面点制作和饼房工作的职业养成等方面的动手能力和分析问题、解决问题能力。从而使学生能较好地胜任将来的西点制作工作</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讲述了西点面包、蛋糕饼干、甜品等的制作方法。通过演示+实训，突出技能的训练、知识的运用。</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36</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17</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旅游概论</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了解社会经济发展与旅游活动的关系</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明确旅游活动的内容、种类和表现形式</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掌握发展旅游业的基本要素及各要素之间的关系</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了解旅游对接待地区的基本影响</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了解旅游和旅游业的发展趋势</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能够结合旅游者需求分析旅游市场的开发</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能够用旅游资源开发和保护的知识深入分析旅游资源实际应如何开发</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能运用旅游业发展对旅游目的地所带来的系列影响分析如何引导旅游业实现有效可持续发展</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能用旅游学基础知识分析某地旅游业的发展状况</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具有良好的思想品德、具有较强的社会责任感、荣誉感和进取精神</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养成独立思考问题、分析问题、解决问题的学习能力</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具备旅游从业人员所需的行业价值观念和认知</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让学生掌握旅游学基本范畴、基本原理和观点的基础上初步了解旅游业的基本要素及其运作过程, 为学习专业课程奠定良好的理论基础。同时让学生接受初步创意思维和能力训练</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18</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营养膳食设计与制作</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掌握人体所需各种营养素及其营养学意义</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掌握各类人群的营养需求和腾食原则。熟悉合理营养与平衡膳食的基本要求熟悉常用食物的营养价值</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了解医院膳食的种类和住院病人的营养支持</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能为公众提供基本的公共营养指导</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能对常见病病人进行正确的膳食指导</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能将合理营养与平衡膳食运用到实际生活中</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通过演示+实训后，采用实操或分组实操，小组合作探究、个别指导等模式，使学生能独立进行营养餐的设计等</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90</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19</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烹饪营养与安全</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要求学生掌握营养学中重要的基本概念、基础理论知识、基本原理和一般评价方法，能对食品、菜点在加工制作工艺进程中加以应用，有目的地解决食品、烹饪、配膳工艺过程中的营养及卫生问题。为提高食品、菜点品质质量、营养质量、食品卫生安全质量，以及工艺改进的过程中发挥作用.</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通过对本课程的学习，使学生能够了解膳食营养基础知识，适应人们日益增长的食品营养和卫生的要求，培养学生在食品的营养和卫生监督管理方面的专业知识、职业能力，使学生能够在未来职业生涯中熟练的运用所学知识，提升专业能力</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36</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20</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毕业宴席设计</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本课程以提升学生宴会策划与管理能力，培养学生创新能力与实践能力为主线使学生在了解掌握宴会设计的方法和过程基础上，培养学生具备宴会运作管理知识，较强的设计能力、创新能力和成本控制能力，实现从基层执行人员到策划管理人员的初步转变，以便在将来的工作中把握机会，实现发展。</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掌握宴会的分类和特点;熟悉客户沟通知识:掌握宴会菜点、酒水搭配原则</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掌握中西餐宴会服务方式</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熟悉中西式宴会设计流程和宴会流行趋势</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了解宴会餐具搭配知识、地域文化、饮食文化知识</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掌握中西餐台型布局知识:色彩、灯光、音乐搭配知识:8.了解宴会厅壁饰、摆件、通道装饰知识</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熟悉各种宴会活动的设计方法</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掌握中西餐服务接待礼仪知识</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掌握中西餐宴会服务流程知识、大型宴会会议服务特点</w:t>
            </w:r>
            <w:r>
              <w:rPr>
                <w:rFonts w:hint="eastAsia" w:ascii="仿宋" w:hAnsi="仿宋" w:eastAsia="仿宋" w:cs="仿宋"/>
                <w:b w:val="0"/>
                <w:bCs/>
                <w:color w:val="000000"/>
                <w:sz w:val="20"/>
                <w:szCs w:val="20"/>
                <w:lang w:eastAsia="zh-CN"/>
              </w:rPr>
              <w:t>；</w:t>
            </w:r>
            <w:r>
              <w:rPr>
                <w:rFonts w:hint="eastAsia" w:ascii="仿宋" w:hAnsi="仿宋" w:eastAsia="仿宋" w:cs="仿宋"/>
                <w:b w:val="0"/>
                <w:bCs/>
                <w:color w:val="000000"/>
                <w:sz w:val="20"/>
                <w:szCs w:val="20"/>
              </w:rPr>
              <w:t>了解宴会设备知识、宴会管理知识、食品安全知识</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54</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21</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现代厨房管理</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是烹饪与营养教育、烹饪工艺与营养、中餐烹饪与营养膳食等专业的一门专业课程，是一门涉及多学科，具有针对性与适用性、实践性与实用性、科学性与创新性相融合的课程，该课程以当前厨房岗位的需求为导向，全面系统地介绍了现代厨房管理的基本原理、基本方法及其运用方法。通过本课程的学习，使学生对现代厨房有一个全面的了解，熟悉厨房的基本业务和管理技能，明确厨房管理的基本内容和基本方法，培养掌握厨管理知识、具有管理意识和经营管理能力，富有创新精神的高素质、应用型人才。</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使学生掌握厨房生产、产品、质量、卫生和安全管理，熟悉厨房组织机构、设备布局，为培养从事有关餐饮专业、食品工业、营养产业等生产管理技术人员打下坚实的基础</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54</w:t>
            </w:r>
          </w:p>
        </w:tc>
      </w:tr>
      <w:tr>
        <w:trPr>
          <w:trHeight w:val="447" w:hRule="atLeast"/>
        </w:trPr>
        <w:tc>
          <w:tcPr>
            <w:tcW w:w="645" w:type="dxa"/>
            <w:noWrap w:val="0"/>
            <w:vAlign w:val="center"/>
          </w:tcPr>
          <w:p>
            <w:pPr>
              <w:jc w:val="center"/>
              <w:rPr>
                <w:rFonts w:hint="eastAsia" w:ascii="仿宋" w:hAnsi="仿宋" w:eastAsia="仿宋" w:cs="仿宋"/>
                <w:b w:val="0"/>
                <w:bCs/>
                <w:color w:val="000000"/>
                <w:sz w:val="20"/>
                <w:szCs w:val="20"/>
                <w:lang w:val="en-US" w:eastAsia="zh-CN"/>
              </w:rPr>
            </w:pPr>
            <w:r>
              <w:rPr>
                <w:rFonts w:hint="eastAsia" w:ascii="仿宋" w:hAnsi="仿宋" w:eastAsia="仿宋" w:cs="仿宋"/>
                <w:b w:val="0"/>
                <w:bCs/>
                <w:color w:val="000000"/>
                <w:sz w:val="20"/>
                <w:szCs w:val="20"/>
                <w:lang w:val="en-US" w:eastAsia="zh-CN"/>
              </w:rPr>
              <w:t>22</w:t>
            </w:r>
          </w:p>
        </w:tc>
        <w:tc>
          <w:tcPr>
            <w:tcW w:w="112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菜单与宴席设计</w:t>
            </w:r>
          </w:p>
        </w:tc>
        <w:tc>
          <w:tcPr>
            <w:tcW w:w="3228"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000000"/>
                <w:sz w:val="20"/>
                <w:szCs w:val="20"/>
              </w:rPr>
              <w:t>本课程是烹饪专业的一门专业课程，它从宴会的历史、特点、分类、改革趋势到宴会的经营、促销、运作和管理，系统地讲述了宴会工作的方方面面内容，并以新颖实用的例子为实践操作提供了典范</w:t>
            </w:r>
          </w:p>
        </w:tc>
        <w:tc>
          <w:tcPr>
            <w:tcW w:w="3822" w:type="dxa"/>
            <w:noWrap w:val="0"/>
            <w:vAlign w:val="center"/>
          </w:tcPr>
          <w:p>
            <w:pPr>
              <w:jc w:val="center"/>
              <w:rPr>
                <w:rFonts w:hint="eastAsia" w:ascii="仿宋" w:hAnsi="仿宋" w:eastAsia="仿宋" w:cs="仿宋"/>
                <w:b w:val="0"/>
                <w:bCs/>
                <w:color w:val="000000"/>
                <w:sz w:val="20"/>
                <w:szCs w:val="20"/>
              </w:rPr>
            </w:pPr>
            <w:r>
              <w:rPr>
                <w:rFonts w:hint="eastAsia" w:ascii="仿宋" w:hAnsi="仿宋" w:eastAsia="仿宋" w:cs="仿宋"/>
                <w:b w:val="0"/>
                <w:bCs/>
                <w:color w:val="auto"/>
                <w:kern w:val="0"/>
                <w:sz w:val="20"/>
                <w:szCs w:val="20"/>
                <w:shd w:val="clear" w:fill="FFFFFF"/>
                <w:lang w:val="en-US" w:eastAsia="zh-CN" w:bidi="ar"/>
              </w:rPr>
              <w:t>系统的学习和掌握宴会相关知识、技能。通过学习使学生加深对酒店专业的认识，能掌握较为全面的宴会设计与管理的知识和基本理论，为从事餐饮服务与管理工作打下坚实的基础</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sz w:val="20"/>
                <w:szCs w:val="20"/>
              </w:rPr>
            </w:pPr>
            <w:r>
              <w:rPr>
                <w:rFonts w:hint="eastAsia" w:ascii="仿宋" w:hAnsi="仿宋" w:eastAsia="仿宋" w:cs="仿宋"/>
                <w:b w:val="0"/>
                <w:bCs/>
                <w:i w:val="0"/>
                <w:iCs w:val="0"/>
                <w:color w:val="000000"/>
                <w:kern w:val="0"/>
                <w:sz w:val="20"/>
                <w:szCs w:val="20"/>
                <w:u w:val="none"/>
                <w:lang w:val="en-US" w:eastAsia="zh-CN" w:bidi="ar"/>
              </w:rPr>
              <w:t>90</w:t>
            </w:r>
          </w:p>
        </w:tc>
      </w:tr>
    </w:tbl>
    <w:p>
      <w:pPr>
        <w:overflowPunct w:val="0"/>
        <w:adjustRightInd w:val="0"/>
        <w:ind w:firstLine="480" w:firstLineChars="200"/>
        <w:outlineLvl w:val="0"/>
        <w:rPr>
          <w:rFonts w:hint="default" w:eastAsia="楷体_GB2312"/>
          <w:b/>
          <w:sz w:val="24"/>
          <w:szCs w:val="24"/>
          <w:lang w:val="en-US" w:eastAsia="zh-CN"/>
        </w:rPr>
      </w:pPr>
      <w:r>
        <w:rPr>
          <w:rFonts w:eastAsia="楷体_GB2312"/>
          <w:b/>
          <w:sz w:val="24"/>
          <w:szCs w:val="24"/>
        </w:rPr>
        <w:t>（</w:t>
      </w:r>
      <w:r>
        <w:rPr>
          <w:rFonts w:hint="eastAsia" w:eastAsia="楷体_GB2312"/>
          <w:b/>
          <w:sz w:val="24"/>
          <w:szCs w:val="24"/>
          <w:lang w:val="en-US" w:eastAsia="zh-CN"/>
        </w:rPr>
        <w:t>三</w:t>
      </w:r>
      <w:r>
        <w:rPr>
          <w:rFonts w:eastAsia="楷体_GB2312"/>
          <w:b/>
          <w:sz w:val="24"/>
          <w:szCs w:val="24"/>
        </w:rPr>
        <w:t>）</w:t>
      </w:r>
      <w:r>
        <w:rPr>
          <w:rFonts w:hint="eastAsia" w:eastAsia="楷体_GB2312"/>
          <w:b/>
          <w:sz w:val="24"/>
          <w:szCs w:val="24"/>
          <w:lang w:val="en-US" w:eastAsia="zh-CN"/>
        </w:rPr>
        <w:t>课程设置特色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1.公共基础选修课分为公共限定选修课和公共任意选修课，根据学生自身发展的需要和兴趣爱好选择，每课程需达到达到2学分才修完。公共限定选修课，由《法律基础知识》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大别山红色教育读本</w:t>
      </w:r>
      <w:r>
        <w:rPr>
          <w:rFonts w:hint="eastAsia" w:ascii="仿宋" w:hAnsi="仿宋" w:eastAsia="仿宋" w:cs="仿宋"/>
          <w:sz w:val="24"/>
          <w:szCs w:val="24"/>
          <w:lang w:eastAsia="zh-CN"/>
        </w:rPr>
        <w:t>》、</w:t>
      </w:r>
      <w:r>
        <w:rPr>
          <w:rFonts w:hint="eastAsia" w:ascii="仿宋" w:hAnsi="仿宋" w:eastAsia="仿宋" w:cs="仿宋"/>
          <w:sz w:val="24"/>
          <w:szCs w:val="24"/>
        </w:rPr>
        <w:t>《中华优秀传统文化》《工匠精神</w:t>
      </w:r>
      <w:r>
        <w:rPr>
          <w:rFonts w:hint="eastAsia" w:ascii="仿宋" w:hAnsi="仿宋" w:eastAsia="仿宋" w:cs="仿宋"/>
          <w:sz w:val="24"/>
          <w:szCs w:val="24"/>
          <w:lang w:val="en-US" w:eastAsia="zh-CN"/>
        </w:rPr>
        <w:t>读本</w:t>
      </w:r>
      <w:r>
        <w:rPr>
          <w:rFonts w:hint="eastAsia" w:ascii="仿宋" w:hAnsi="仿宋" w:eastAsia="仿宋" w:cs="仿宋"/>
          <w:sz w:val="24"/>
          <w:szCs w:val="24"/>
        </w:rPr>
        <w:t>》以及专业相关的课程《</w:t>
      </w:r>
      <w:r>
        <w:rPr>
          <w:rFonts w:hint="eastAsia" w:ascii="仿宋" w:hAnsi="仿宋" w:eastAsia="仿宋" w:cs="仿宋"/>
          <w:sz w:val="24"/>
          <w:szCs w:val="24"/>
          <w:lang w:val="en-US" w:eastAsia="zh-CN"/>
        </w:rPr>
        <w:t>中职生职业素养</w:t>
      </w:r>
      <w:r>
        <w:rPr>
          <w:rFonts w:hint="eastAsia" w:ascii="仿宋" w:hAnsi="仿宋" w:eastAsia="仿宋" w:cs="仿宋"/>
          <w:sz w:val="24"/>
          <w:szCs w:val="24"/>
        </w:rPr>
        <w:t>》组成，占6学分，需要108学时；公共任意选修课（四选二）由《</w:t>
      </w:r>
      <w:r>
        <w:rPr>
          <w:rFonts w:hint="eastAsia" w:ascii="仿宋" w:hAnsi="仿宋" w:eastAsia="仿宋" w:cs="仿宋"/>
          <w:sz w:val="24"/>
          <w:szCs w:val="24"/>
          <w:lang w:val="en-US" w:eastAsia="zh-CN"/>
        </w:rPr>
        <w:t>人文素养</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科学素养</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《中国书法》《职业礼仪》组成，占4学分，需要72学时。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2.专业选修拓展课分为专业课选修课和专业方向选修课，根据学生学生专业发展的规划和兴趣爱好选择。专业课选修课（二选一），占2学分，需要36学时；专业方向选修课，占11学分,需要198学时。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公共实践课程是一项具有专业特点的实践性教学，也是学生获得教育实践知识和技能，树立正确价值观，形成良好职业认同感，培养与提高实际工作能力和创新能力的重要实践教学环节。由《国防教育》《社会实践》《劳动服务周》《毕业教育》组成，占18学分，需要2新学时</w:t>
      </w:r>
      <w:r>
        <w:rPr>
          <w:rFonts w:hint="eastAsia" w:ascii="仿宋" w:hAnsi="仿宋" w:eastAsia="仿宋" w:cs="仿宋"/>
          <w:sz w:val="24"/>
          <w:szCs w:val="24"/>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jc w:val="both"/>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七、课程进程总体安排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楷体" w:hAnsi="楷体" w:eastAsia="楷体" w:cs="楷体"/>
          <w:b/>
          <w:bCs/>
          <w:sz w:val="24"/>
          <w:szCs w:val="24"/>
        </w:rPr>
      </w:pPr>
      <w:r>
        <w:rPr>
          <w:rFonts w:hint="eastAsia" w:ascii="楷体" w:hAnsi="楷体" w:eastAsia="楷体" w:cs="楷体"/>
          <w:b/>
          <w:bCs/>
          <w:color w:val="000000"/>
          <w:spacing w:val="0"/>
          <w:w w:val="100"/>
          <w:position w:val="0"/>
          <w:sz w:val="24"/>
          <w:szCs w:val="24"/>
          <w:lang w:eastAsia="zh-CN"/>
        </w:rPr>
        <w:t>（</w:t>
      </w:r>
      <w:r>
        <w:rPr>
          <w:rFonts w:hint="eastAsia" w:ascii="楷体" w:hAnsi="楷体" w:eastAsia="楷体" w:cs="楷体"/>
          <w:b/>
          <w:bCs/>
          <w:color w:val="000000"/>
          <w:spacing w:val="0"/>
          <w:w w:val="100"/>
          <w:position w:val="0"/>
          <w:sz w:val="24"/>
          <w:szCs w:val="24"/>
          <w:lang w:val="en-US" w:eastAsia="zh-CN"/>
        </w:rPr>
        <w:t>一</w:t>
      </w:r>
      <w:r>
        <w:rPr>
          <w:rFonts w:hint="eastAsia" w:ascii="楷体" w:hAnsi="楷体" w:eastAsia="楷体" w:cs="楷体"/>
          <w:b/>
          <w:bCs/>
          <w:color w:val="000000"/>
          <w:spacing w:val="0"/>
          <w:w w:val="100"/>
          <w:position w:val="0"/>
          <w:sz w:val="24"/>
          <w:szCs w:val="24"/>
          <w:lang w:eastAsia="zh-CN"/>
        </w:rPr>
        <w:t>）</w:t>
      </w:r>
      <w:r>
        <w:rPr>
          <w:rFonts w:hint="eastAsia" w:ascii="楷体" w:hAnsi="楷体" w:eastAsia="楷体" w:cs="楷体"/>
          <w:b/>
          <w:bCs/>
          <w:color w:val="000000"/>
          <w:spacing w:val="0"/>
          <w:w w:val="100"/>
          <w:position w:val="0"/>
          <w:sz w:val="24"/>
          <w:szCs w:val="24"/>
        </w:rPr>
        <w:t>教学活动周安排</w:t>
      </w:r>
    </w:p>
    <w:p>
      <w:pPr>
        <w:pStyle w:val="8"/>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rPr>
        <w:t>表</w:t>
      </w:r>
      <w:r>
        <w:rPr>
          <w:rFonts w:hint="eastAsia" w:ascii="仿宋" w:hAnsi="仿宋" w:eastAsia="仿宋" w:cs="仿宋"/>
          <w:b w:val="0"/>
          <w:bCs w:val="0"/>
          <w:color w:val="000000"/>
          <w:spacing w:val="0"/>
          <w:w w:val="100"/>
          <w:position w:val="0"/>
          <w:sz w:val="24"/>
          <w:szCs w:val="24"/>
          <w:lang w:val="en-US" w:eastAsia="en-US" w:bidi="en-US"/>
        </w:rPr>
        <w:t>3-1</w:t>
      </w:r>
      <w:r>
        <w:rPr>
          <w:rFonts w:hint="eastAsia" w:ascii="仿宋" w:hAnsi="仿宋" w:eastAsia="仿宋" w:cs="仿宋"/>
          <w:b w:val="0"/>
          <w:bCs w:val="0"/>
          <w:color w:val="000000"/>
          <w:spacing w:val="0"/>
          <w:w w:val="100"/>
          <w:position w:val="0"/>
          <w:sz w:val="24"/>
          <w:szCs w:val="24"/>
        </w:rPr>
        <w:t>教育教学活动按周分配表</w:t>
      </w:r>
    </w:p>
    <w:tbl>
      <w:tblPr>
        <w:tblStyle w:val="4"/>
        <w:tblW w:w="0" w:type="auto"/>
        <w:jc w:val="center"/>
        <w:tblLayout w:type="fixed"/>
        <w:tblCellMar>
          <w:top w:w="0" w:type="dxa"/>
          <w:left w:w="10" w:type="dxa"/>
          <w:bottom w:w="0" w:type="dxa"/>
          <w:right w:w="10" w:type="dxa"/>
        </w:tblCellMar>
      </w:tblPr>
      <w:tblGrid>
        <w:gridCol w:w="870"/>
        <w:gridCol w:w="870"/>
        <w:gridCol w:w="855"/>
        <w:gridCol w:w="870"/>
        <w:gridCol w:w="870"/>
        <w:gridCol w:w="870"/>
        <w:gridCol w:w="870"/>
        <w:gridCol w:w="855"/>
        <w:gridCol w:w="870"/>
        <w:gridCol w:w="900"/>
      </w:tblGrid>
      <w:tr>
        <w:trPr>
          <w:trHeight w:val="560" w:hRule="exact"/>
          <w:jc w:val="center"/>
        </w:trPr>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学年</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00"/>
              <w:jc w:val="left"/>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学期</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lang w:val="en-US" w:eastAsia="zh-CN"/>
              </w:rPr>
            </w:pPr>
            <w:r>
              <w:rPr>
                <w:rFonts w:hint="eastAsia" w:ascii="仿宋" w:hAnsi="仿宋" w:eastAsia="仿宋" w:cs="仿宋"/>
                <w:i w:val="0"/>
                <w:iCs w:val="0"/>
                <w:color w:val="000000"/>
                <w:spacing w:val="0"/>
                <w:w w:val="100"/>
                <w:position w:val="0"/>
                <w:sz w:val="20"/>
                <w:szCs w:val="20"/>
              </w:rPr>
              <w:t>课堂教学</w:t>
            </w:r>
            <w:r>
              <w:rPr>
                <w:rFonts w:hint="eastAsia" w:ascii="仿宋" w:hAnsi="仿宋" w:eastAsia="仿宋" w:cs="仿宋"/>
                <w:i w:val="0"/>
                <w:iCs w:val="0"/>
                <w:color w:val="000000"/>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国防教育</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lang w:val="en-US" w:eastAsia="zh-CN"/>
              </w:rPr>
            </w:pPr>
            <w:r>
              <w:rPr>
                <w:rFonts w:hint="eastAsia" w:ascii="仿宋" w:hAnsi="仿宋" w:eastAsia="仿宋" w:cs="仿宋"/>
                <w:i w:val="0"/>
                <w:iCs w:val="0"/>
                <w:color w:val="000000"/>
                <w:spacing w:val="0"/>
                <w:w w:val="100"/>
                <w:position w:val="0"/>
                <w:sz w:val="20"/>
                <w:szCs w:val="20"/>
              </w:rPr>
              <w:t>劳动服务</w:t>
            </w:r>
            <w:r>
              <w:rPr>
                <w:rFonts w:hint="eastAsia" w:ascii="仿宋" w:hAnsi="仿宋" w:eastAsia="仿宋" w:cs="仿宋"/>
                <w:i w:val="0"/>
                <w:iCs w:val="0"/>
                <w:color w:val="000000"/>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lang w:val="en-US" w:eastAsia="zh-CN"/>
              </w:rPr>
            </w:pPr>
            <w:r>
              <w:rPr>
                <w:rFonts w:hint="eastAsia" w:ascii="仿宋" w:hAnsi="仿宋" w:eastAsia="仿宋" w:cs="仿宋"/>
                <w:i w:val="0"/>
                <w:iCs w:val="0"/>
                <w:color w:val="000000"/>
                <w:spacing w:val="0"/>
                <w:w w:val="100"/>
                <w:position w:val="0"/>
                <w:sz w:val="20"/>
                <w:szCs w:val="20"/>
              </w:rPr>
              <w:t>社会实践</w:t>
            </w:r>
            <w:r>
              <w:rPr>
                <w:rFonts w:hint="eastAsia" w:ascii="仿宋" w:hAnsi="仿宋" w:eastAsia="仿宋" w:cs="仿宋"/>
                <w:i w:val="0"/>
                <w:iCs w:val="0"/>
                <w:color w:val="000000"/>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毕业教育</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技能鉴定</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岗位实习</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总教学周数</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180" w:after="0" w:line="240" w:lineRule="auto"/>
              <w:ind w:left="0" w:right="0" w:firstLine="3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both"/>
              <w:rPr>
                <w:rFonts w:hint="default" w:ascii="仿宋" w:hAnsi="仿宋" w:eastAsia="仿宋" w:cs="仿宋"/>
                <w:b w:val="0"/>
                <w:bCs w:val="0"/>
                <w:i w:val="0"/>
                <w:iCs w:val="0"/>
                <w:sz w:val="20"/>
                <w:szCs w:val="20"/>
                <w:lang w:val="en-US" w:eastAsia="zh-CN"/>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center"/>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二</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center"/>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4</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三</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default" w:ascii="仿宋" w:hAnsi="仿宋" w:eastAsia="仿宋" w:cs="仿宋"/>
                <w:b w:val="0"/>
                <w:bCs w:val="0"/>
                <w:i w:val="0"/>
                <w:iCs w:val="0"/>
                <w:sz w:val="20"/>
                <w:szCs w:val="20"/>
                <w:lang w:val="en-US"/>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6</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24</w:t>
            </w:r>
          </w:p>
        </w:tc>
      </w:tr>
      <w:tr>
        <w:trPr>
          <w:trHeight w:val="283"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rPr>
              <w:t>合</w:t>
            </w:r>
            <w:r>
              <w:rPr>
                <w:rFonts w:hint="eastAsia" w:ascii="仿宋" w:hAnsi="仿宋" w:eastAsia="仿宋" w:cs="仿宋"/>
                <w:b w:val="0"/>
                <w:bCs w:val="0"/>
                <w:i w:val="0"/>
                <w:iCs w:val="0"/>
                <w:color w:val="000000"/>
                <w:spacing w:val="0"/>
                <w:w w:val="100"/>
                <w:position w:val="0"/>
                <w:sz w:val="20"/>
                <w:szCs w:val="20"/>
              </w:rPr>
              <w:t>计</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default" w:ascii="仿宋" w:hAnsi="仿宋" w:eastAsia="仿宋" w:cs="仿宋"/>
                <w:b w:val="0"/>
                <w:bCs w:val="0"/>
                <w:i w:val="0"/>
                <w:iCs w:val="0"/>
                <w:sz w:val="20"/>
                <w:szCs w:val="20"/>
                <w:lang w:val="en-US" w:eastAsia="zh-CN"/>
              </w:rPr>
            </w:pPr>
            <w:r>
              <w:rPr>
                <w:rFonts w:hint="eastAsia" w:ascii="仿宋" w:hAnsi="仿宋" w:eastAsia="仿宋" w:cs="仿宋"/>
                <w:b w:val="0"/>
                <w:bCs w:val="0"/>
                <w:i w:val="0"/>
                <w:iCs w:val="0"/>
                <w:color w:val="000000"/>
                <w:spacing w:val="0"/>
                <w:w w:val="100"/>
                <w:position w:val="0"/>
                <w:sz w:val="20"/>
                <w:szCs w:val="20"/>
                <w:lang w:val="en-US" w:eastAsia="zh-CN" w:bidi="en-US"/>
              </w:rPr>
              <w:t>90</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5</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40" w:firstLine="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24</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200" w:firstLine="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124</w:t>
            </w:r>
          </w:p>
        </w:tc>
      </w:tr>
    </w:tbl>
    <w:p>
      <w:pPr>
        <w:pStyle w:val="8"/>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440" w:lineRule="exact"/>
        <w:ind w:right="0" w:firstLine="480" w:firstLineChars="200"/>
        <w:jc w:val="both"/>
        <w:textAlignment w:val="auto"/>
        <w:rPr>
          <w:rFonts w:hint="eastAsia" w:ascii="楷体" w:hAnsi="楷体" w:eastAsia="楷体" w:cs="楷体"/>
          <w:b/>
          <w:bCs/>
          <w:sz w:val="24"/>
          <w:szCs w:val="24"/>
        </w:rPr>
      </w:pP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lang w:val="en-US" w:eastAsia="zh-CN"/>
        </w:rPr>
        <w:t>二</w:t>
      </w: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rPr>
        <w:t>教学进程总体安排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lang w:val="zh-CN" w:eastAsia="zh-CN" w:bidi="zh-CN"/>
        </w:rPr>
        <w:t>附录</w:t>
      </w:r>
      <w:r>
        <w:rPr>
          <w:rFonts w:hint="eastAsia" w:ascii="仿宋" w:hAnsi="仿宋" w:eastAsia="仿宋" w:cs="仿宋"/>
          <w:b w:val="0"/>
          <w:bCs w:val="0"/>
          <w:color w:val="000000"/>
          <w:spacing w:val="0"/>
          <w:w w:val="100"/>
          <w:position w:val="0"/>
          <w:sz w:val="24"/>
          <w:szCs w:val="24"/>
          <w:lang w:val="en-US" w:eastAsia="zh-CN" w:bidi="zh-CN"/>
        </w:rPr>
        <w:t>1：</w:t>
      </w:r>
      <w:r>
        <w:rPr>
          <w:rFonts w:hint="eastAsia" w:ascii="仿宋" w:hAnsi="仿宋" w:eastAsia="仿宋" w:cs="仿宋"/>
          <w:b w:val="0"/>
          <w:bCs w:val="0"/>
          <w:color w:val="000000"/>
          <w:spacing w:val="0"/>
          <w:w w:val="100"/>
          <w:position w:val="0"/>
          <w:sz w:val="24"/>
          <w:szCs w:val="24"/>
        </w:rPr>
        <w:t>教学总体安排表</w:t>
      </w:r>
    </w:p>
    <w:p>
      <w:pPr>
        <w:pStyle w:val="8"/>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楷体" w:hAnsi="楷体" w:eastAsia="楷体" w:cs="楷体"/>
          <w:b/>
          <w:bCs/>
          <w:sz w:val="24"/>
          <w:szCs w:val="24"/>
        </w:rPr>
      </w:pP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lang w:val="en-US" w:eastAsia="zh-CN"/>
        </w:rPr>
        <w:t>三</w:t>
      </w: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rPr>
        <w:t>教学学时分配表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rPr>
        <w:t>表</w:t>
      </w:r>
      <w:r>
        <w:rPr>
          <w:rFonts w:hint="eastAsia" w:ascii="仿宋" w:hAnsi="仿宋" w:eastAsia="仿宋" w:cs="仿宋"/>
          <w:b w:val="0"/>
          <w:bCs w:val="0"/>
          <w:color w:val="000000"/>
          <w:spacing w:val="0"/>
          <w:w w:val="100"/>
          <w:position w:val="0"/>
          <w:sz w:val="24"/>
          <w:szCs w:val="24"/>
          <w:lang w:val="en-US" w:eastAsia="en-US" w:bidi="en-US"/>
        </w:rPr>
        <w:t>3-2</w:t>
      </w:r>
      <w:r>
        <w:rPr>
          <w:rFonts w:hint="eastAsia" w:ascii="仿宋" w:hAnsi="仿宋" w:eastAsia="仿宋" w:cs="仿宋"/>
          <w:b w:val="0"/>
          <w:bCs w:val="0"/>
          <w:color w:val="000000"/>
          <w:spacing w:val="0"/>
          <w:w w:val="100"/>
          <w:position w:val="0"/>
          <w:sz w:val="24"/>
          <w:szCs w:val="24"/>
        </w:rPr>
        <w:t>教学学时分配表</w:t>
      </w:r>
    </w:p>
    <w:tbl>
      <w:tblPr>
        <w:tblStyle w:val="4"/>
        <w:tblW w:w="8955" w:type="dxa"/>
        <w:jc w:val="center"/>
        <w:tblLayout w:type="fixed"/>
        <w:tblCellMar>
          <w:top w:w="0" w:type="dxa"/>
          <w:left w:w="10" w:type="dxa"/>
          <w:bottom w:w="0" w:type="dxa"/>
          <w:right w:w="10" w:type="dxa"/>
        </w:tblCellMar>
      </w:tblPr>
      <w:tblGrid>
        <w:gridCol w:w="675"/>
        <w:gridCol w:w="3226"/>
        <w:gridCol w:w="750"/>
        <w:gridCol w:w="809"/>
        <w:gridCol w:w="1080"/>
        <w:gridCol w:w="1170"/>
        <w:gridCol w:w="1245"/>
      </w:tblGrid>
      <w:tr>
        <w:trPr>
          <w:trHeight w:val="283" w:hRule="exact"/>
          <w:jc w:val="center"/>
        </w:trPr>
        <w:tc>
          <w:tcPr>
            <w:vMerge w:val="restart"/>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180" w:after="0" w:line="240" w:lineRule="auto"/>
              <w:ind w:left="0" w:right="0" w:firstLine="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序号</w:t>
            </w:r>
          </w:p>
        </w:tc>
        <w:tc>
          <w:tcPr>
            <w:tcW w:w="3226" w:type="dxa"/>
            <w:vMerge w:val="restart"/>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180" w:after="0" w:line="240" w:lineRule="auto"/>
              <w:ind w:left="1060" w:right="0" w:firstLine="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课程类别</w:t>
            </w:r>
          </w:p>
        </w:tc>
        <w:tc>
          <w:tcPr>
            <w:tcW w:w="7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160" w:right="0" w:firstLine="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门 数</w:t>
            </w: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学时数</w:t>
            </w:r>
          </w:p>
        </w:tc>
        <w:tc>
          <w:tcPr>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20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占总学时</w:t>
            </w:r>
          </w:p>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百分比</w:t>
            </w:r>
          </w:p>
        </w:tc>
      </w:tr>
      <w:tr>
        <w:trPr>
          <w:trHeight w:val="283" w:hRule="exact"/>
          <w:jc w:val="center"/>
        </w:trPr>
        <w:tc>
          <w:tcPr>
            <w:vMerge w:val="continue"/>
            <w:tcBorders>
              <w:left w:val="single" w:color="auto" w:sz="4" w:space="0"/>
            </w:tcBorders>
            <w:shd w:val="clear" w:color="auto" w:fill="FFFFFF"/>
            <w:vAlign w:val="top"/>
          </w:tcPr>
          <w:p>
            <w:pPr>
              <w:spacing w:line="240" w:lineRule="auto"/>
              <w:rPr>
                <w:rFonts w:hint="eastAsia" w:ascii="仿宋" w:hAnsi="仿宋" w:eastAsia="仿宋" w:cs="仿宋"/>
                <w:b w:val="0"/>
                <w:bCs w:val="0"/>
                <w:sz w:val="20"/>
                <w:szCs w:val="20"/>
              </w:rPr>
            </w:pPr>
          </w:p>
        </w:tc>
        <w:tc>
          <w:tcPr>
            <w:tcW w:w="3226" w:type="dxa"/>
            <w:vMerge w:val="continue"/>
            <w:tcBorders>
              <w:left w:val="single" w:color="auto" w:sz="4" w:space="0"/>
            </w:tcBorders>
            <w:shd w:val="clear" w:color="auto" w:fill="FFFFFF"/>
            <w:vAlign w:val="top"/>
          </w:tcPr>
          <w:p>
            <w:pPr>
              <w:spacing w:line="240" w:lineRule="auto"/>
              <w:rPr>
                <w:rFonts w:hint="eastAsia" w:ascii="仿宋" w:hAnsi="仿宋" w:eastAsia="仿宋" w:cs="仿宋"/>
                <w:b w:val="0"/>
                <w:bCs w:val="0"/>
                <w:sz w:val="20"/>
                <w:szCs w:val="20"/>
              </w:rPr>
            </w:pPr>
          </w:p>
        </w:tc>
        <w:tc>
          <w:tcPr>
            <w:tcW w:w="750" w:type="dxa"/>
            <w:vMerge w:val="continue"/>
            <w:tcBorders>
              <w:left w:val="single" w:color="auto" w:sz="4" w:space="0"/>
            </w:tcBorders>
            <w:shd w:val="clear" w:color="auto" w:fill="FFFFFF"/>
            <w:vAlign w:val="center"/>
          </w:tcPr>
          <w:p>
            <w:pPr>
              <w:spacing w:line="240" w:lineRule="auto"/>
              <w:rPr>
                <w:rFonts w:hint="eastAsia" w:ascii="仿宋" w:hAnsi="仿宋" w:eastAsia="仿宋" w:cs="仿宋"/>
                <w:b w:val="0"/>
                <w:bCs w:val="0"/>
                <w:sz w:val="20"/>
                <w:szCs w:val="20"/>
              </w:rPr>
            </w:pPr>
          </w:p>
        </w:tc>
        <w:tc>
          <w:tcPr>
            <w:tcW w:w="809"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理论</w:t>
            </w:r>
          </w:p>
        </w:tc>
        <w:tc>
          <w:tcPr>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实践</w:t>
            </w:r>
          </w:p>
        </w:tc>
        <w:tc>
          <w:tcPr>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舍计</w:t>
            </w:r>
          </w:p>
        </w:tc>
        <w:tc>
          <w:tcPr>
            <w:vMerge w:val="continue"/>
            <w:tcBorders>
              <w:left w:val="single" w:color="auto" w:sz="4" w:space="0"/>
              <w:right w:val="single" w:color="auto" w:sz="4" w:space="0"/>
            </w:tcBorders>
            <w:shd w:val="clear" w:color="auto" w:fill="FFFFFF"/>
            <w:vAlign w:val="center"/>
          </w:tcPr>
          <w:p>
            <w:pPr>
              <w:spacing w:line="240" w:lineRule="auto"/>
              <w:rPr>
                <w:rFonts w:hint="eastAsia" w:ascii="仿宋" w:hAnsi="仿宋" w:eastAsia="仿宋" w:cs="仿宋"/>
                <w:b w:val="0"/>
                <w:bCs w:val="0"/>
                <w:sz w:val="20"/>
                <w:szCs w:val="20"/>
              </w:rPr>
            </w:pPr>
          </w:p>
        </w:tc>
      </w:tr>
      <w:tr>
        <w:trPr>
          <w:trHeight w:val="283"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w:t>
            </w:r>
          </w:p>
        </w:tc>
        <w:tc>
          <w:tcPr>
            <w:tcW w:w="32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公共基础课程/公共实践课程</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23</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w:t>
            </w:r>
            <w:r>
              <w:rPr>
                <w:rFonts w:hint="eastAsia" w:ascii="仿宋" w:hAnsi="仿宋" w:eastAsia="仿宋" w:cs="仿宋"/>
                <w:b w:val="0"/>
                <w:bCs w:val="0"/>
                <w:color w:val="000000"/>
                <w:spacing w:val="0"/>
                <w:w w:val="100"/>
                <w:position w:val="0"/>
                <w:sz w:val="20"/>
                <w:szCs w:val="20"/>
                <w:lang w:val="en-US" w:eastAsia="zh-CN"/>
              </w:rPr>
              <w:t>0</w:t>
            </w:r>
            <w:r>
              <w:rPr>
                <w:rFonts w:hint="eastAsia" w:ascii="仿宋" w:hAnsi="仿宋" w:eastAsia="仿宋" w:cs="仿宋"/>
                <w:b w:val="0"/>
                <w:bCs w:val="0"/>
                <w:color w:val="000000"/>
                <w:spacing w:val="0"/>
                <w:w w:val="100"/>
                <w:position w:val="0"/>
                <w:sz w:val="20"/>
                <w:szCs w:val="20"/>
                <w:lang w:val="en-US" w:eastAsia="en-US" w:bidi="en-US"/>
              </w:rPr>
              <w:t>22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652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1674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42%</w:t>
            </w:r>
          </w:p>
        </w:tc>
      </w:tr>
      <w:tr>
        <w:trPr>
          <w:trHeight w:val="283" w:hRule="exact"/>
          <w:jc w:val="center"/>
        </w:trPr>
        <w:tc>
          <w:tcPr>
            <w:vMerge w:val="restart"/>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w:t>
            </w:r>
          </w:p>
        </w:tc>
        <w:tc>
          <w:tcPr>
            <w:tcW w:w="322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u w:val="none"/>
                <w:lang w:val="en-US" w:eastAsia="zh-CN"/>
              </w:rPr>
              <w:t>专业课程</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22</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347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1947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2294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rPr>
              <w:t>58%</w:t>
            </w:r>
          </w:p>
        </w:tc>
      </w:tr>
      <w:tr>
        <w:trPr>
          <w:trHeight w:val="283" w:hRule="exact"/>
          <w:jc w:val="center"/>
        </w:trPr>
        <w:tc>
          <w:tcPr>
            <w:vMerge w:val="continue"/>
            <w:tcBorders>
              <w:left w:val="single" w:color="auto" w:sz="4" w:space="0"/>
            </w:tcBorders>
            <w:shd w:val="clear" w:color="auto" w:fill="FFFFFF"/>
            <w:vAlign w:val="bottom"/>
          </w:tcPr>
          <w:p>
            <w:pPr>
              <w:spacing w:line="240" w:lineRule="auto"/>
              <w:rPr>
                <w:rFonts w:hint="eastAsia" w:ascii="仿宋" w:hAnsi="仿宋" w:eastAsia="仿宋" w:cs="仿宋"/>
                <w:b w:val="0"/>
                <w:bCs w:val="0"/>
                <w:sz w:val="20"/>
                <w:szCs w:val="20"/>
              </w:rPr>
            </w:pPr>
          </w:p>
        </w:tc>
        <w:tc>
          <w:tcPr>
            <w:tcW w:w="32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1380" w:right="0" w:firstLine="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其中专业核心课</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8</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165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663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828</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rPr>
              <w:t>21%</w:t>
            </w:r>
          </w:p>
        </w:tc>
      </w:tr>
      <w:tr>
        <w:trPr>
          <w:trHeight w:val="283" w:hRule="exact"/>
          <w:jc w:val="center"/>
        </w:trPr>
        <w:tc>
          <w:tcPr>
            <w:tcW w:w="3901"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理论环节总学时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sz w:val="20"/>
                <w:szCs w:val="20"/>
              </w:rPr>
            </w:pP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1369</w:t>
            </w:r>
          </w:p>
        </w:tc>
        <w:tc>
          <w:tcPr>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35%</w:t>
            </w:r>
          </w:p>
        </w:tc>
      </w:tr>
      <w:tr>
        <w:trPr>
          <w:trHeight w:val="283" w:hRule="exact"/>
          <w:jc w:val="center"/>
        </w:trPr>
        <w:tc>
          <w:tcPr>
            <w:tcW w:w="3901"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实践环节总学时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sz w:val="20"/>
                <w:szCs w:val="20"/>
              </w:rPr>
            </w:pP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2599</w:t>
            </w:r>
          </w:p>
        </w:tc>
        <w:tc>
          <w:tcPr>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65%</w:t>
            </w:r>
          </w:p>
        </w:tc>
      </w:tr>
      <w:tr>
        <w:trPr>
          <w:trHeight w:val="283" w:hRule="exact"/>
          <w:jc w:val="center"/>
        </w:trPr>
        <w:tc>
          <w:tcPr>
            <w:tcW w:w="390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选修课总学时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sz w:val="20"/>
                <w:szCs w:val="20"/>
              </w:rPr>
            </w:pPr>
          </w:p>
        </w:tc>
        <w:tc>
          <w:tcPr>
            <w:tcW w:w="305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414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10%</w:t>
            </w:r>
          </w:p>
        </w:tc>
      </w:tr>
      <w:tr>
        <w:trPr>
          <w:trHeight w:val="283" w:hRule="exact"/>
          <w:jc w:val="center"/>
        </w:trPr>
        <w:tc>
          <w:tcPr>
            <w:tcW w:w="390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教学总学时</w:t>
            </w:r>
          </w:p>
        </w:tc>
        <w:tc>
          <w:tcPr>
            <w:tcW w:w="505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3968</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4"/>
          <w:szCs w:val="24"/>
        </w:rPr>
      </w:pPr>
      <w:r>
        <w:rPr>
          <w:rFonts w:hint="eastAsia" w:ascii="黑体" w:hAnsi="黑体" w:eastAsia="黑体" w:cs="黑体"/>
          <w:sz w:val="24"/>
          <w:szCs w:val="24"/>
        </w:rPr>
        <w:t>八、教学实施保障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val="en-US" w:eastAsia="zh-CN"/>
        </w:rPr>
        <w:t>一</w:t>
      </w:r>
      <w:r>
        <w:rPr>
          <w:rFonts w:hint="eastAsia" w:ascii="楷体" w:hAnsi="楷体" w:eastAsia="楷体" w:cs="楷体"/>
          <w:b/>
          <w:bCs/>
          <w:sz w:val="24"/>
          <w:szCs w:val="24"/>
        </w:rPr>
        <w:t>）师资队伍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bookmarkStart w:id="54" w:name="_Toc14160"/>
      <w:bookmarkStart w:id="55" w:name="_Toc19605"/>
      <w:r>
        <w:rPr>
          <w:rFonts w:hint="eastAsia" w:ascii="仿宋" w:hAnsi="仿宋" w:eastAsia="仿宋" w:cs="仿宋"/>
          <w:sz w:val="24"/>
          <w:szCs w:val="24"/>
          <w:lang w:val="en-US" w:eastAsia="zh-CN"/>
        </w:rPr>
        <w:t>根据本专业的发展需求，制定并执行教师外派学习、校本培训、企业交流、引进人才等计划。建立符合中等职业学校教师专业标准要求的双师型专业教师团队，设立业务水平较高的专业带头人，并聘请行业企业技术骨干担任兼职教师。</w:t>
      </w:r>
      <w:bookmarkEnd w:id="54"/>
      <w:bookmarkEnd w:id="55"/>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bookmarkStart w:id="56" w:name="_Toc2235"/>
      <w:bookmarkStart w:id="57" w:name="_Toc32150"/>
      <w:r>
        <w:rPr>
          <w:rFonts w:hint="eastAsia" w:ascii="仿宋" w:hAnsi="仿宋" w:eastAsia="仿宋" w:cs="仿宋"/>
          <w:sz w:val="24"/>
          <w:szCs w:val="24"/>
          <w:lang w:val="en-US" w:eastAsia="zh-CN"/>
        </w:rPr>
        <w:t>（1）专职专业教师应具有烹饪专业本、专科以上学历，具有高级以上职业资格证书或中等职业学校教师资格证书。为人师表，从严治教，具备理实一体化和信息化教学的基本能力和继续学习能力；积极参加教学改革行动研究和各种竞赛，参加教研和校本培训，有企业实践经历。</w:t>
      </w:r>
      <w:bookmarkEnd w:id="56"/>
      <w:bookmarkEnd w:id="5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bookmarkStart w:id="58" w:name="_Toc11774"/>
      <w:bookmarkStart w:id="59" w:name="_Toc18002"/>
      <w:r>
        <w:rPr>
          <w:rFonts w:hint="eastAsia" w:ascii="仿宋" w:hAnsi="仿宋" w:eastAsia="仿宋" w:cs="仿宋"/>
          <w:sz w:val="24"/>
          <w:szCs w:val="24"/>
          <w:lang w:val="en-US" w:eastAsia="zh-CN"/>
        </w:rPr>
        <w:t>（2）兼职教师应占专业教师20%及以上比例，须经过教学方法培训，具备中级以上专业技术职称或高级工以上职业资格，或在本专业领域享有较高声誉、丰富实践经验和特殊技能的行业企业技术专家、能工巧匠。</w:t>
      </w:r>
      <w:bookmarkEnd w:id="58"/>
      <w:bookmarkEnd w:id="5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bookmarkStart w:id="60" w:name="_Toc2309"/>
      <w:bookmarkStart w:id="61" w:name="_Toc22824"/>
      <w:r>
        <w:rPr>
          <w:rFonts w:hint="eastAsia" w:ascii="仿宋" w:hAnsi="仿宋" w:eastAsia="仿宋" w:cs="仿宋"/>
          <w:sz w:val="24"/>
          <w:szCs w:val="24"/>
          <w:lang w:val="en-US" w:eastAsia="zh-CN"/>
        </w:rPr>
        <w:t>（3）专业带头人需要烹饪专业高级职称和高级烹饪技师，从事烹饪专业教学、生产实践 10年以上，在行业具有一定影响力。</w:t>
      </w:r>
      <w:bookmarkEnd w:id="60"/>
      <w:bookmarkEnd w:id="61"/>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rPr>
      </w:pPr>
      <w:r>
        <w:rPr>
          <w:rFonts w:hint="eastAsia" w:ascii="楷体" w:hAnsi="楷体" w:eastAsia="楷体" w:cs="楷体"/>
          <w:b/>
          <w:bCs/>
          <w:sz w:val="24"/>
          <w:szCs w:val="24"/>
        </w:rPr>
        <w:t>（二）教学设施</w:t>
      </w:r>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outlineLvl w:val="0"/>
        <w:rPr>
          <w:rFonts w:hint="eastAsia" w:ascii="仿宋" w:hAnsi="仿宋" w:eastAsia="仿宋" w:cs="仿宋"/>
          <w:color w:val="auto"/>
          <w:kern w:val="0"/>
          <w:sz w:val="20"/>
          <w:szCs w:val="20"/>
          <w:shd w:val="clear" w:fill="FFFFFF"/>
          <w:lang w:val="en-US" w:eastAsia="zh-CN" w:bidi="ar"/>
        </w:rPr>
      </w:pPr>
      <w:bookmarkStart w:id="62" w:name="_Toc20398"/>
      <w:bookmarkStart w:id="63" w:name="_Toc23155"/>
      <w:r>
        <w:rPr>
          <w:rFonts w:hint="eastAsia" w:ascii="仿宋" w:hAnsi="仿宋" w:eastAsia="仿宋" w:cs="仿宋"/>
          <w:color w:val="auto"/>
          <w:kern w:val="0"/>
          <w:sz w:val="20"/>
          <w:szCs w:val="20"/>
          <w:shd w:val="clear" w:fill="FFFFFF"/>
          <w:lang w:val="en-US" w:eastAsia="zh-CN" w:bidi="ar"/>
        </w:rPr>
        <w:t>（1）多媒体教室：2间</w:t>
      </w:r>
      <w:bookmarkEnd w:id="62"/>
      <w:bookmarkEnd w:id="63"/>
    </w:p>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outlineLvl w:val="0"/>
        <w:rPr>
          <w:rFonts w:hint="eastAsia" w:ascii="仿宋" w:hAnsi="仿宋" w:eastAsia="仿宋" w:cs="仿宋"/>
          <w:color w:val="auto"/>
          <w:kern w:val="0"/>
          <w:sz w:val="20"/>
          <w:szCs w:val="20"/>
          <w:shd w:val="clear" w:fill="FFFFFF"/>
          <w:lang w:val="en-US" w:eastAsia="zh-CN" w:bidi="ar"/>
        </w:rPr>
      </w:pPr>
      <w:bookmarkStart w:id="64" w:name="_Toc3045"/>
      <w:bookmarkStart w:id="65" w:name="_Toc26201"/>
      <w:r>
        <w:rPr>
          <w:rFonts w:hint="eastAsia" w:ascii="仿宋" w:hAnsi="仿宋" w:eastAsia="仿宋" w:cs="仿宋"/>
          <w:color w:val="auto"/>
          <w:kern w:val="0"/>
          <w:sz w:val="20"/>
          <w:szCs w:val="20"/>
          <w:shd w:val="clear" w:fill="FFFFFF"/>
          <w:lang w:val="en-US" w:eastAsia="zh-CN" w:bidi="ar"/>
        </w:rPr>
        <w:t>（2）校内烹饪实训中心</w:t>
      </w:r>
      <w:bookmarkEnd w:id="64"/>
      <w:bookmarkEnd w:id="6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154"/>
        <w:gridCol w:w="1064"/>
        <w:gridCol w:w="1705"/>
        <w:gridCol w:w="1472"/>
        <w:gridCol w:w="1239"/>
      </w:tblGrid>
      <w:tr>
        <w:trPr>
          <w:jc w:val="center"/>
        </w:trPr>
        <w:tc>
          <w:tcPr>
            <w:tcW w:w="8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66" w:name="_Toc8280"/>
            <w:bookmarkStart w:id="67" w:name="_Toc7106"/>
            <w:r>
              <w:rPr>
                <w:rFonts w:hint="eastAsia" w:ascii="仿宋" w:hAnsi="仿宋" w:eastAsia="仿宋" w:cs="仿宋"/>
                <w:color w:val="auto"/>
                <w:kern w:val="0"/>
                <w:sz w:val="20"/>
                <w:szCs w:val="20"/>
                <w:shd w:val="clear" w:fill="FFFFFF"/>
                <w:vertAlign w:val="baseline"/>
                <w:lang w:val="en-US" w:eastAsia="zh-CN" w:bidi="ar"/>
              </w:rPr>
              <w:t>序号</w:t>
            </w:r>
            <w:bookmarkEnd w:id="66"/>
            <w:bookmarkEnd w:id="67"/>
          </w:p>
        </w:tc>
        <w:tc>
          <w:tcPr>
            <w:tcW w:w="215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68" w:name="_Toc5866"/>
            <w:bookmarkStart w:id="69" w:name="_Toc23208"/>
            <w:r>
              <w:rPr>
                <w:rFonts w:hint="eastAsia" w:ascii="仿宋" w:hAnsi="仿宋" w:eastAsia="仿宋" w:cs="仿宋"/>
                <w:color w:val="auto"/>
                <w:kern w:val="0"/>
                <w:sz w:val="20"/>
                <w:szCs w:val="20"/>
                <w:shd w:val="clear" w:fill="FFFFFF"/>
                <w:vertAlign w:val="baseline"/>
                <w:lang w:val="en-US" w:eastAsia="zh-CN" w:bidi="ar"/>
              </w:rPr>
              <w:t>教室名称</w:t>
            </w:r>
            <w:bookmarkEnd w:id="68"/>
            <w:bookmarkEnd w:id="69"/>
          </w:p>
        </w:tc>
        <w:tc>
          <w:tcPr>
            <w:tcW w:w="106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70" w:name="_Toc7994"/>
            <w:bookmarkStart w:id="71" w:name="_Toc3057"/>
            <w:r>
              <w:rPr>
                <w:rFonts w:hint="eastAsia" w:ascii="仿宋" w:hAnsi="仿宋" w:eastAsia="仿宋" w:cs="仿宋"/>
                <w:color w:val="auto"/>
                <w:kern w:val="0"/>
                <w:sz w:val="20"/>
                <w:szCs w:val="20"/>
                <w:shd w:val="clear" w:fill="FFFFFF"/>
                <w:vertAlign w:val="baseline"/>
                <w:lang w:val="en-US" w:eastAsia="zh-CN" w:bidi="ar"/>
              </w:rPr>
              <w:t>面积</w:t>
            </w:r>
            <w:bookmarkEnd w:id="70"/>
            <w:bookmarkEnd w:id="71"/>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72" w:name="_Toc29982"/>
            <w:bookmarkStart w:id="73" w:name="_Toc16862"/>
            <w:r>
              <w:rPr>
                <w:rFonts w:hint="eastAsia" w:ascii="仿宋" w:hAnsi="仿宋" w:eastAsia="仿宋" w:cs="仿宋"/>
                <w:color w:val="auto"/>
                <w:kern w:val="0"/>
                <w:sz w:val="20"/>
                <w:szCs w:val="20"/>
                <w:shd w:val="clear" w:fill="FFFFFF"/>
                <w:vertAlign w:val="baseline"/>
                <w:lang w:val="en-US" w:eastAsia="zh-CN" w:bidi="ar"/>
              </w:rPr>
              <w:t>设备种类</w:t>
            </w:r>
            <w:bookmarkEnd w:id="72"/>
            <w:bookmarkEnd w:id="7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74" w:name="_Toc17261"/>
            <w:bookmarkStart w:id="75" w:name="_Toc21094"/>
            <w:r>
              <w:rPr>
                <w:rFonts w:hint="eastAsia" w:ascii="仿宋" w:hAnsi="仿宋" w:eastAsia="仿宋" w:cs="仿宋"/>
                <w:color w:val="auto"/>
                <w:kern w:val="0"/>
                <w:sz w:val="20"/>
                <w:szCs w:val="20"/>
                <w:shd w:val="clear" w:fill="FFFFFF"/>
                <w:vertAlign w:val="baseline"/>
                <w:lang w:val="en-US" w:eastAsia="zh-CN" w:bidi="ar"/>
              </w:rPr>
              <w:t>数量</w:t>
            </w:r>
            <w:bookmarkEnd w:id="74"/>
            <w:bookmarkEnd w:id="75"/>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76" w:name="_Toc4778"/>
            <w:bookmarkStart w:id="77" w:name="_Toc23395"/>
            <w:r>
              <w:rPr>
                <w:rFonts w:hint="eastAsia" w:ascii="仿宋" w:hAnsi="仿宋" w:eastAsia="仿宋" w:cs="仿宋"/>
                <w:color w:val="auto"/>
                <w:kern w:val="0"/>
                <w:sz w:val="20"/>
                <w:szCs w:val="20"/>
                <w:shd w:val="clear" w:fill="FFFFFF"/>
                <w:vertAlign w:val="baseline"/>
                <w:lang w:val="en-US" w:eastAsia="zh-CN" w:bidi="ar"/>
              </w:rPr>
              <w:t>备注</w:t>
            </w:r>
            <w:bookmarkEnd w:id="76"/>
            <w:bookmarkEnd w:id="77"/>
          </w:p>
        </w:tc>
      </w:tr>
      <w:tr>
        <w:trPr>
          <w:jc w:val="center"/>
        </w:trPr>
        <w:tc>
          <w:tcPr>
            <w:tcW w:w="88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78" w:name="_Toc12128"/>
            <w:bookmarkStart w:id="79" w:name="_Toc25820"/>
            <w:r>
              <w:rPr>
                <w:rFonts w:hint="eastAsia" w:ascii="仿宋" w:hAnsi="仿宋" w:eastAsia="仿宋" w:cs="仿宋"/>
                <w:color w:val="auto"/>
                <w:kern w:val="0"/>
                <w:sz w:val="20"/>
                <w:szCs w:val="20"/>
                <w:shd w:val="clear" w:fill="FFFFFF"/>
                <w:vertAlign w:val="baseline"/>
                <w:lang w:val="en-US" w:eastAsia="zh-CN" w:bidi="ar"/>
              </w:rPr>
              <w:t>1</w:t>
            </w:r>
            <w:bookmarkEnd w:id="78"/>
            <w:bookmarkEnd w:id="79"/>
          </w:p>
        </w:tc>
        <w:tc>
          <w:tcPr>
            <w:tcW w:w="215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80" w:name="_Toc1615"/>
            <w:bookmarkStart w:id="81" w:name="_Toc26474"/>
            <w:r>
              <w:rPr>
                <w:rFonts w:hint="eastAsia" w:ascii="仿宋" w:hAnsi="仿宋" w:eastAsia="仿宋" w:cs="仿宋"/>
                <w:color w:val="auto"/>
                <w:kern w:val="0"/>
                <w:sz w:val="20"/>
                <w:szCs w:val="20"/>
                <w:shd w:val="clear" w:fill="FFFFFF"/>
                <w:vertAlign w:val="baseline"/>
                <w:lang w:val="en-US" w:eastAsia="zh-CN" w:bidi="ar"/>
              </w:rPr>
              <w:t>基本功训练大厅</w:t>
            </w:r>
            <w:bookmarkEnd w:id="80"/>
            <w:bookmarkEnd w:id="81"/>
          </w:p>
        </w:tc>
        <w:tc>
          <w:tcPr>
            <w:tcW w:w="106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82" w:name="_Toc19581"/>
            <w:bookmarkStart w:id="83" w:name="_Toc9936"/>
            <w:r>
              <w:rPr>
                <w:rFonts w:hint="eastAsia" w:ascii="仿宋" w:hAnsi="仿宋" w:eastAsia="仿宋" w:cs="仿宋"/>
                <w:color w:val="auto"/>
                <w:kern w:val="0"/>
                <w:sz w:val="20"/>
                <w:szCs w:val="20"/>
                <w:shd w:val="clear" w:fill="FFFFFF"/>
                <w:vertAlign w:val="baseline"/>
                <w:lang w:val="en-US" w:eastAsia="zh-CN" w:bidi="ar"/>
              </w:rPr>
              <w:t>160平</w:t>
            </w:r>
            <w:bookmarkEnd w:id="82"/>
            <w:bookmarkEnd w:id="83"/>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84" w:name="_Toc3744"/>
            <w:bookmarkStart w:id="85" w:name="_Toc15216"/>
            <w:r>
              <w:rPr>
                <w:rFonts w:hint="eastAsia" w:ascii="仿宋" w:hAnsi="仿宋" w:eastAsia="仿宋" w:cs="仿宋"/>
                <w:color w:val="auto"/>
                <w:kern w:val="0"/>
                <w:sz w:val="20"/>
                <w:szCs w:val="20"/>
                <w:shd w:val="clear" w:fill="FFFFFF"/>
                <w:vertAlign w:val="baseline"/>
                <w:lang w:val="en-US" w:eastAsia="zh-CN" w:bidi="ar"/>
              </w:rPr>
              <w:t>翻锅台</w:t>
            </w:r>
            <w:bookmarkEnd w:id="84"/>
            <w:bookmarkEnd w:id="85"/>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86" w:name="_Toc19734"/>
            <w:bookmarkStart w:id="87" w:name="_Toc26963"/>
            <w:r>
              <w:rPr>
                <w:rFonts w:hint="eastAsia" w:ascii="仿宋" w:hAnsi="仿宋" w:eastAsia="仿宋" w:cs="仿宋"/>
                <w:color w:val="auto"/>
                <w:kern w:val="0"/>
                <w:sz w:val="20"/>
                <w:szCs w:val="20"/>
                <w:shd w:val="clear" w:fill="FFFFFF"/>
                <w:vertAlign w:val="baseline"/>
                <w:lang w:val="en-US" w:eastAsia="zh-CN" w:bidi="ar"/>
              </w:rPr>
              <w:t>24张</w:t>
            </w:r>
            <w:bookmarkEnd w:id="86"/>
            <w:bookmarkEnd w:id="87"/>
          </w:p>
        </w:tc>
        <w:tc>
          <w:tcPr>
            <w:tcW w:w="1239"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88" w:name="_Toc14011"/>
            <w:bookmarkStart w:id="89" w:name="_Toc21446"/>
            <w:r>
              <w:rPr>
                <w:rFonts w:hint="eastAsia" w:ascii="仿宋" w:hAnsi="仿宋" w:eastAsia="仿宋" w:cs="仿宋"/>
                <w:color w:val="auto"/>
                <w:kern w:val="0"/>
                <w:sz w:val="20"/>
                <w:szCs w:val="20"/>
                <w:shd w:val="clear" w:fill="FFFFFF"/>
                <w:vertAlign w:val="baseline"/>
                <w:lang w:val="en-US" w:eastAsia="zh-CN" w:bidi="ar"/>
              </w:rPr>
              <w:t>不锈钢案板</w:t>
            </w:r>
            <w:bookmarkEnd w:id="88"/>
            <w:bookmarkEnd w:id="89"/>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90" w:name="_Toc825"/>
            <w:bookmarkStart w:id="91" w:name="_Toc20033"/>
            <w:r>
              <w:rPr>
                <w:rFonts w:hint="eastAsia" w:ascii="仿宋" w:hAnsi="仿宋" w:eastAsia="仿宋" w:cs="仿宋"/>
                <w:color w:val="auto"/>
                <w:kern w:val="0"/>
                <w:sz w:val="20"/>
                <w:szCs w:val="20"/>
                <w:shd w:val="clear" w:fill="FFFFFF"/>
                <w:vertAlign w:val="baseline"/>
                <w:lang w:val="en-US" w:eastAsia="zh-CN" w:bidi="ar"/>
              </w:rPr>
              <w:t>18张</w:t>
            </w:r>
            <w:bookmarkEnd w:id="90"/>
            <w:bookmarkEnd w:id="91"/>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92" w:name="_Toc11997"/>
            <w:bookmarkStart w:id="93" w:name="_Toc26826"/>
            <w:r>
              <w:rPr>
                <w:rFonts w:hint="eastAsia" w:ascii="仿宋" w:hAnsi="仿宋" w:eastAsia="仿宋" w:cs="仿宋"/>
                <w:color w:val="auto"/>
                <w:kern w:val="0"/>
                <w:sz w:val="20"/>
                <w:szCs w:val="20"/>
                <w:shd w:val="clear" w:fill="FFFFFF"/>
                <w:vertAlign w:val="baseline"/>
                <w:lang w:val="en-US" w:eastAsia="zh-CN" w:bidi="ar"/>
              </w:rPr>
              <w:t>双耳锅</w:t>
            </w:r>
            <w:bookmarkEnd w:id="92"/>
            <w:bookmarkEnd w:id="9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94" w:name="_Toc27085"/>
            <w:bookmarkStart w:id="95" w:name="_Toc23144"/>
            <w:r>
              <w:rPr>
                <w:rFonts w:hint="eastAsia" w:ascii="仿宋" w:hAnsi="仿宋" w:eastAsia="仿宋" w:cs="仿宋"/>
                <w:color w:val="auto"/>
                <w:kern w:val="0"/>
                <w:sz w:val="20"/>
                <w:szCs w:val="20"/>
                <w:shd w:val="clear" w:fill="FFFFFF"/>
                <w:vertAlign w:val="baseline"/>
                <w:lang w:val="en-US" w:eastAsia="zh-CN" w:bidi="ar"/>
              </w:rPr>
              <w:t>82张</w:t>
            </w:r>
            <w:bookmarkEnd w:id="94"/>
            <w:bookmarkEnd w:id="95"/>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96" w:name="_Toc21577"/>
            <w:bookmarkStart w:id="97" w:name="_Toc31713"/>
            <w:r>
              <w:rPr>
                <w:rFonts w:hint="eastAsia" w:ascii="仿宋" w:hAnsi="仿宋" w:eastAsia="仿宋" w:cs="仿宋"/>
                <w:color w:val="auto"/>
                <w:kern w:val="0"/>
                <w:sz w:val="20"/>
                <w:szCs w:val="20"/>
                <w:shd w:val="clear" w:fill="FFFFFF"/>
                <w:vertAlign w:val="baseline"/>
                <w:lang w:val="en-US" w:eastAsia="zh-CN" w:bidi="ar"/>
              </w:rPr>
              <w:t>炒勺</w:t>
            </w:r>
            <w:bookmarkEnd w:id="96"/>
            <w:bookmarkEnd w:id="9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98" w:name="_Toc12652"/>
            <w:bookmarkStart w:id="99" w:name="_Toc6502"/>
            <w:r>
              <w:rPr>
                <w:rFonts w:hint="eastAsia" w:ascii="仿宋" w:hAnsi="仿宋" w:eastAsia="仿宋" w:cs="仿宋"/>
                <w:color w:val="auto"/>
                <w:kern w:val="0"/>
                <w:sz w:val="20"/>
                <w:szCs w:val="20"/>
                <w:shd w:val="clear" w:fill="FFFFFF"/>
                <w:vertAlign w:val="baseline"/>
                <w:lang w:val="en-US" w:eastAsia="zh-CN" w:bidi="ar"/>
              </w:rPr>
              <w:t>82只</w:t>
            </w:r>
            <w:bookmarkEnd w:id="98"/>
            <w:bookmarkEnd w:id="99"/>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00" w:name="_Toc28705"/>
            <w:bookmarkStart w:id="101" w:name="_Toc5378"/>
            <w:r>
              <w:rPr>
                <w:rFonts w:hint="eastAsia" w:ascii="仿宋" w:hAnsi="仿宋" w:eastAsia="仿宋" w:cs="仿宋"/>
                <w:color w:val="auto"/>
                <w:kern w:val="0"/>
                <w:sz w:val="20"/>
                <w:szCs w:val="20"/>
                <w:shd w:val="clear" w:fill="FFFFFF"/>
                <w:vertAlign w:val="baseline"/>
                <w:lang w:val="en-US" w:eastAsia="zh-CN" w:bidi="ar"/>
              </w:rPr>
              <w:t>2</w:t>
            </w:r>
            <w:bookmarkEnd w:id="100"/>
            <w:bookmarkEnd w:id="101"/>
          </w:p>
        </w:tc>
        <w:tc>
          <w:tcPr>
            <w:tcW w:w="215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02" w:name="_Toc28148"/>
            <w:bookmarkStart w:id="103" w:name="_Toc22470"/>
            <w:r>
              <w:rPr>
                <w:rFonts w:hint="eastAsia" w:ascii="仿宋" w:hAnsi="仿宋" w:eastAsia="仿宋" w:cs="仿宋"/>
                <w:color w:val="auto"/>
                <w:kern w:val="0"/>
                <w:sz w:val="20"/>
                <w:szCs w:val="20"/>
                <w:shd w:val="clear" w:fill="FFFFFF"/>
                <w:vertAlign w:val="baseline"/>
                <w:lang w:val="en-US" w:eastAsia="zh-CN" w:bidi="ar"/>
              </w:rPr>
              <w:t>中餐实训教室</w:t>
            </w:r>
            <w:bookmarkEnd w:id="102"/>
            <w:bookmarkEnd w:id="103"/>
          </w:p>
        </w:tc>
        <w:tc>
          <w:tcPr>
            <w:tcW w:w="106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04" w:name="_Toc32473"/>
            <w:bookmarkStart w:id="105" w:name="_Toc27491"/>
            <w:r>
              <w:rPr>
                <w:rFonts w:hint="eastAsia" w:ascii="仿宋" w:hAnsi="仿宋" w:eastAsia="仿宋" w:cs="仿宋"/>
                <w:color w:val="auto"/>
                <w:kern w:val="0"/>
                <w:sz w:val="20"/>
                <w:szCs w:val="20"/>
                <w:shd w:val="clear" w:fill="FFFFFF"/>
                <w:vertAlign w:val="baseline"/>
                <w:lang w:val="en-US" w:eastAsia="zh-CN" w:bidi="ar"/>
              </w:rPr>
              <w:t>80平</w:t>
            </w:r>
            <w:bookmarkEnd w:id="104"/>
            <w:bookmarkEnd w:id="105"/>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06" w:name="_Toc17533"/>
            <w:bookmarkStart w:id="107" w:name="_Toc26302"/>
            <w:r>
              <w:rPr>
                <w:rFonts w:hint="eastAsia" w:ascii="仿宋" w:hAnsi="仿宋" w:eastAsia="仿宋" w:cs="仿宋"/>
                <w:color w:val="auto"/>
                <w:kern w:val="0"/>
                <w:sz w:val="20"/>
                <w:szCs w:val="20"/>
                <w:shd w:val="clear" w:fill="FFFFFF"/>
                <w:vertAlign w:val="baseline"/>
                <w:lang w:val="en-US" w:eastAsia="zh-CN" w:bidi="ar"/>
              </w:rPr>
              <w:t>二炒一温灶</w:t>
            </w:r>
            <w:bookmarkEnd w:id="106"/>
            <w:bookmarkEnd w:id="10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08" w:name="_Toc1096"/>
            <w:bookmarkStart w:id="109" w:name="_Toc13382"/>
            <w:r>
              <w:rPr>
                <w:rFonts w:hint="eastAsia" w:ascii="仿宋" w:hAnsi="仿宋" w:eastAsia="仿宋" w:cs="仿宋"/>
                <w:color w:val="auto"/>
                <w:kern w:val="0"/>
                <w:sz w:val="20"/>
                <w:szCs w:val="20"/>
                <w:shd w:val="clear" w:fill="FFFFFF"/>
                <w:vertAlign w:val="baseline"/>
                <w:lang w:val="en-US" w:eastAsia="zh-CN" w:bidi="ar"/>
              </w:rPr>
              <w:t>9台</w:t>
            </w:r>
            <w:bookmarkEnd w:id="108"/>
            <w:bookmarkEnd w:id="109"/>
          </w:p>
        </w:tc>
        <w:tc>
          <w:tcPr>
            <w:tcW w:w="1239"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10" w:name="_Toc26032"/>
            <w:bookmarkStart w:id="111" w:name="_Toc9814"/>
            <w:r>
              <w:rPr>
                <w:rFonts w:hint="eastAsia" w:ascii="仿宋" w:hAnsi="仿宋" w:eastAsia="仿宋" w:cs="仿宋"/>
                <w:color w:val="auto"/>
                <w:kern w:val="0"/>
                <w:sz w:val="20"/>
                <w:szCs w:val="20"/>
                <w:shd w:val="clear" w:fill="FFFFFF"/>
                <w:vertAlign w:val="baseline"/>
                <w:lang w:val="en-US" w:eastAsia="zh-CN" w:bidi="ar"/>
              </w:rPr>
              <w:t>蒸箱</w:t>
            </w:r>
            <w:bookmarkEnd w:id="110"/>
            <w:bookmarkEnd w:id="11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12" w:name="_Toc9807"/>
            <w:bookmarkStart w:id="113" w:name="_Toc13275"/>
            <w:r>
              <w:rPr>
                <w:rFonts w:hint="eastAsia" w:ascii="仿宋" w:hAnsi="仿宋" w:eastAsia="仿宋" w:cs="仿宋"/>
                <w:color w:val="auto"/>
                <w:kern w:val="0"/>
                <w:sz w:val="20"/>
                <w:szCs w:val="20"/>
                <w:shd w:val="clear" w:fill="FFFFFF"/>
                <w:vertAlign w:val="baseline"/>
                <w:lang w:val="en-US" w:eastAsia="zh-CN" w:bidi="ar"/>
              </w:rPr>
              <w:t>1台</w:t>
            </w:r>
            <w:bookmarkEnd w:id="112"/>
            <w:bookmarkEnd w:id="113"/>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14" w:name="_Toc17696"/>
            <w:bookmarkStart w:id="115" w:name="_Toc8282"/>
            <w:r>
              <w:rPr>
                <w:rFonts w:hint="eastAsia" w:ascii="仿宋" w:hAnsi="仿宋" w:eastAsia="仿宋" w:cs="仿宋"/>
                <w:color w:val="auto"/>
                <w:kern w:val="0"/>
                <w:sz w:val="20"/>
                <w:szCs w:val="20"/>
                <w:shd w:val="clear" w:fill="FFFFFF"/>
                <w:vertAlign w:val="baseline"/>
                <w:lang w:val="en-US" w:eastAsia="zh-CN" w:bidi="ar"/>
              </w:rPr>
              <w:t>汤锅</w:t>
            </w:r>
            <w:bookmarkEnd w:id="114"/>
            <w:bookmarkEnd w:id="115"/>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16" w:name="_Toc29960"/>
            <w:bookmarkStart w:id="117" w:name="_Toc32560"/>
            <w:r>
              <w:rPr>
                <w:rFonts w:hint="eastAsia" w:ascii="仿宋" w:hAnsi="仿宋" w:eastAsia="仿宋" w:cs="仿宋"/>
                <w:color w:val="auto"/>
                <w:kern w:val="0"/>
                <w:sz w:val="20"/>
                <w:szCs w:val="20"/>
                <w:shd w:val="clear" w:fill="FFFFFF"/>
                <w:vertAlign w:val="baseline"/>
                <w:lang w:val="en-US" w:eastAsia="zh-CN" w:bidi="ar"/>
              </w:rPr>
              <w:t>2台</w:t>
            </w:r>
            <w:bookmarkEnd w:id="116"/>
            <w:bookmarkEnd w:id="117"/>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18" w:name="_Toc14778"/>
            <w:bookmarkStart w:id="119" w:name="_Toc18071"/>
            <w:r>
              <w:rPr>
                <w:rFonts w:hint="eastAsia" w:ascii="仿宋" w:hAnsi="仿宋" w:eastAsia="仿宋" w:cs="仿宋"/>
                <w:color w:val="auto"/>
                <w:kern w:val="0"/>
                <w:sz w:val="20"/>
                <w:szCs w:val="20"/>
                <w:shd w:val="clear" w:fill="FFFFFF"/>
                <w:vertAlign w:val="baseline"/>
                <w:lang w:val="en-US" w:eastAsia="zh-CN" w:bidi="ar"/>
              </w:rPr>
              <w:t>排烟罩</w:t>
            </w:r>
            <w:bookmarkEnd w:id="118"/>
            <w:bookmarkEnd w:id="119"/>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20" w:name="_Toc18629"/>
            <w:bookmarkStart w:id="121" w:name="_Toc2856"/>
            <w:r>
              <w:rPr>
                <w:rFonts w:hint="eastAsia" w:ascii="仿宋" w:hAnsi="仿宋" w:eastAsia="仿宋" w:cs="仿宋"/>
                <w:color w:val="auto"/>
                <w:kern w:val="0"/>
                <w:sz w:val="20"/>
                <w:szCs w:val="20"/>
                <w:shd w:val="clear" w:fill="FFFFFF"/>
                <w:vertAlign w:val="baseline"/>
                <w:lang w:val="en-US" w:eastAsia="zh-CN" w:bidi="ar"/>
              </w:rPr>
              <w:t>1套</w:t>
            </w:r>
            <w:bookmarkEnd w:id="120"/>
            <w:bookmarkEnd w:id="121"/>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22" w:name="_Toc19866"/>
            <w:bookmarkStart w:id="123" w:name="_Toc16681"/>
            <w:r>
              <w:rPr>
                <w:rFonts w:hint="eastAsia" w:ascii="仿宋" w:hAnsi="仿宋" w:eastAsia="仿宋" w:cs="仿宋"/>
                <w:color w:val="auto"/>
                <w:kern w:val="0"/>
                <w:sz w:val="20"/>
                <w:szCs w:val="20"/>
                <w:shd w:val="clear" w:fill="FFFFFF"/>
                <w:vertAlign w:val="baseline"/>
                <w:lang w:val="en-US" w:eastAsia="zh-CN" w:bidi="ar"/>
              </w:rPr>
              <w:t>切配台</w:t>
            </w:r>
            <w:bookmarkEnd w:id="122"/>
            <w:bookmarkEnd w:id="12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24" w:name="_Toc22520"/>
            <w:bookmarkStart w:id="125" w:name="_Toc3376"/>
            <w:r>
              <w:rPr>
                <w:rFonts w:hint="eastAsia" w:ascii="仿宋" w:hAnsi="仿宋" w:eastAsia="仿宋" w:cs="仿宋"/>
                <w:color w:val="auto"/>
                <w:kern w:val="0"/>
                <w:sz w:val="20"/>
                <w:szCs w:val="20"/>
                <w:shd w:val="clear" w:fill="FFFFFF"/>
                <w:vertAlign w:val="baseline"/>
                <w:lang w:val="en-US" w:eastAsia="zh-CN" w:bidi="ar"/>
              </w:rPr>
              <w:t>10张</w:t>
            </w:r>
            <w:bookmarkEnd w:id="124"/>
            <w:bookmarkEnd w:id="125"/>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26" w:name="_Toc518"/>
            <w:bookmarkStart w:id="127" w:name="_Toc21406"/>
            <w:r>
              <w:rPr>
                <w:rFonts w:hint="eastAsia" w:ascii="仿宋" w:hAnsi="仿宋" w:eastAsia="仿宋" w:cs="仿宋"/>
                <w:color w:val="auto"/>
                <w:kern w:val="0"/>
                <w:sz w:val="20"/>
                <w:szCs w:val="20"/>
                <w:shd w:val="clear" w:fill="FFFFFF"/>
                <w:vertAlign w:val="baseline"/>
                <w:lang w:val="en-US" w:eastAsia="zh-CN" w:bidi="ar"/>
              </w:rPr>
              <w:t>平冷操作台</w:t>
            </w:r>
            <w:bookmarkEnd w:id="126"/>
            <w:bookmarkEnd w:id="12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28" w:name="_Toc25203"/>
            <w:bookmarkStart w:id="129" w:name="_Toc11675"/>
            <w:r>
              <w:rPr>
                <w:rFonts w:hint="eastAsia" w:ascii="仿宋" w:hAnsi="仿宋" w:eastAsia="仿宋" w:cs="仿宋"/>
                <w:color w:val="auto"/>
                <w:kern w:val="0"/>
                <w:sz w:val="20"/>
                <w:szCs w:val="20"/>
                <w:shd w:val="clear" w:fill="FFFFFF"/>
                <w:vertAlign w:val="baseline"/>
                <w:lang w:val="en-US" w:eastAsia="zh-CN" w:bidi="ar"/>
              </w:rPr>
              <w:t>1台</w:t>
            </w:r>
            <w:bookmarkEnd w:id="128"/>
            <w:bookmarkEnd w:id="129"/>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30" w:name="_Toc3602"/>
            <w:bookmarkStart w:id="131" w:name="_Toc31369"/>
            <w:r>
              <w:rPr>
                <w:rFonts w:hint="eastAsia" w:ascii="仿宋" w:hAnsi="仿宋" w:eastAsia="仿宋" w:cs="仿宋"/>
                <w:color w:val="auto"/>
                <w:kern w:val="0"/>
                <w:sz w:val="20"/>
                <w:szCs w:val="20"/>
                <w:shd w:val="clear" w:fill="FFFFFF"/>
                <w:vertAlign w:val="baseline"/>
                <w:lang w:val="en-US" w:eastAsia="zh-CN" w:bidi="ar"/>
              </w:rPr>
              <w:t>调料台</w:t>
            </w:r>
            <w:bookmarkEnd w:id="130"/>
            <w:bookmarkEnd w:id="13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32" w:name="_Toc25014"/>
            <w:bookmarkStart w:id="133" w:name="_Toc25524"/>
            <w:r>
              <w:rPr>
                <w:rFonts w:hint="eastAsia" w:ascii="仿宋" w:hAnsi="仿宋" w:eastAsia="仿宋" w:cs="仿宋"/>
                <w:color w:val="auto"/>
                <w:kern w:val="0"/>
                <w:sz w:val="20"/>
                <w:szCs w:val="20"/>
                <w:shd w:val="clear" w:fill="FFFFFF"/>
                <w:vertAlign w:val="baseline"/>
                <w:lang w:val="en-US" w:eastAsia="zh-CN" w:bidi="ar"/>
              </w:rPr>
              <w:t>4张</w:t>
            </w:r>
            <w:bookmarkEnd w:id="132"/>
            <w:bookmarkEnd w:id="133"/>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34" w:name="_Toc27554"/>
            <w:bookmarkStart w:id="135" w:name="_Toc22107"/>
            <w:r>
              <w:rPr>
                <w:rFonts w:hint="eastAsia" w:ascii="仿宋" w:hAnsi="仿宋" w:eastAsia="仿宋" w:cs="仿宋"/>
                <w:color w:val="auto"/>
                <w:kern w:val="0"/>
                <w:sz w:val="20"/>
                <w:szCs w:val="20"/>
                <w:shd w:val="clear" w:fill="FFFFFF"/>
                <w:vertAlign w:val="baseline"/>
                <w:lang w:val="en-US" w:eastAsia="zh-CN" w:bidi="ar"/>
              </w:rPr>
              <w:t>四门冰箱</w:t>
            </w:r>
            <w:bookmarkEnd w:id="134"/>
            <w:bookmarkEnd w:id="135"/>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36" w:name="_Toc21384"/>
            <w:bookmarkStart w:id="137" w:name="_Toc27812"/>
            <w:r>
              <w:rPr>
                <w:rFonts w:hint="eastAsia" w:ascii="仿宋" w:hAnsi="仿宋" w:eastAsia="仿宋" w:cs="仿宋"/>
                <w:color w:val="auto"/>
                <w:kern w:val="0"/>
                <w:sz w:val="20"/>
                <w:szCs w:val="20"/>
                <w:shd w:val="clear" w:fill="FFFFFF"/>
                <w:vertAlign w:val="baseline"/>
                <w:lang w:val="en-US" w:eastAsia="zh-CN" w:bidi="ar"/>
              </w:rPr>
              <w:t>2台</w:t>
            </w:r>
            <w:bookmarkEnd w:id="136"/>
            <w:bookmarkEnd w:id="137"/>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38" w:name="_Toc13570"/>
            <w:bookmarkStart w:id="139" w:name="_Toc3654"/>
            <w:r>
              <w:rPr>
                <w:rFonts w:hint="eastAsia" w:ascii="仿宋" w:hAnsi="仿宋" w:eastAsia="仿宋" w:cs="仿宋"/>
                <w:color w:val="auto"/>
                <w:kern w:val="0"/>
                <w:sz w:val="20"/>
                <w:szCs w:val="20"/>
                <w:shd w:val="clear" w:fill="FFFFFF"/>
                <w:vertAlign w:val="baseline"/>
                <w:lang w:val="en-US" w:eastAsia="zh-CN" w:bidi="ar"/>
              </w:rPr>
              <w:t>双星水槽</w:t>
            </w:r>
            <w:bookmarkEnd w:id="138"/>
            <w:bookmarkEnd w:id="139"/>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40" w:name="_Toc15464"/>
            <w:bookmarkStart w:id="141" w:name="_Toc30825"/>
            <w:r>
              <w:rPr>
                <w:rFonts w:hint="eastAsia" w:ascii="仿宋" w:hAnsi="仿宋" w:eastAsia="仿宋" w:cs="仿宋"/>
                <w:color w:val="auto"/>
                <w:kern w:val="0"/>
                <w:sz w:val="20"/>
                <w:szCs w:val="20"/>
                <w:shd w:val="clear" w:fill="FFFFFF"/>
                <w:vertAlign w:val="baseline"/>
                <w:lang w:val="en-US" w:eastAsia="zh-CN" w:bidi="ar"/>
              </w:rPr>
              <w:t>1只</w:t>
            </w:r>
            <w:bookmarkEnd w:id="140"/>
            <w:bookmarkEnd w:id="141"/>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42" w:name="_Toc24093"/>
            <w:bookmarkStart w:id="143" w:name="_Toc13792"/>
            <w:r>
              <w:rPr>
                <w:rFonts w:hint="eastAsia" w:ascii="仿宋" w:hAnsi="仿宋" w:eastAsia="仿宋" w:cs="仿宋"/>
                <w:color w:val="auto"/>
                <w:kern w:val="0"/>
                <w:sz w:val="20"/>
                <w:szCs w:val="20"/>
                <w:shd w:val="clear" w:fill="FFFFFF"/>
                <w:vertAlign w:val="baseline"/>
                <w:lang w:val="en-US" w:eastAsia="zh-CN" w:bidi="ar"/>
              </w:rPr>
              <w:t>调味车</w:t>
            </w:r>
            <w:bookmarkEnd w:id="142"/>
            <w:bookmarkEnd w:id="14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44" w:name="_Toc8460"/>
            <w:bookmarkStart w:id="145" w:name="_Toc19704"/>
            <w:r>
              <w:rPr>
                <w:rFonts w:hint="eastAsia" w:ascii="仿宋" w:hAnsi="仿宋" w:eastAsia="仿宋" w:cs="仿宋"/>
                <w:color w:val="auto"/>
                <w:kern w:val="0"/>
                <w:sz w:val="20"/>
                <w:szCs w:val="20"/>
                <w:shd w:val="clear" w:fill="FFFFFF"/>
                <w:vertAlign w:val="baseline"/>
                <w:lang w:val="en-US" w:eastAsia="zh-CN" w:bidi="ar"/>
              </w:rPr>
              <w:t>2只</w:t>
            </w:r>
            <w:bookmarkEnd w:id="144"/>
            <w:bookmarkEnd w:id="145"/>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46" w:name="_Toc20849"/>
            <w:bookmarkStart w:id="147" w:name="_Toc28480"/>
            <w:r>
              <w:rPr>
                <w:rFonts w:hint="eastAsia" w:ascii="仿宋" w:hAnsi="仿宋" w:eastAsia="仿宋" w:cs="仿宋"/>
                <w:color w:val="auto"/>
                <w:kern w:val="0"/>
                <w:sz w:val="20"/>
                <w:szCs w:val="20"/>
                <w:shd w:val="clear" w:fill="FFFFFF"/>
                <w:vertAlign w:val="baseline"/>
                <w:lang w:val="en-US" w:eastAsia="zh-CN" w:bidi="ar"/>
              </w:rPr>
              <w:t>九眼煲仔炉</w:t>
            </w:r>
            <w:bookmarkEnd w:id="146"/>
            <w:bookmarkEnd w:id="14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48" w:name="_Toc21038"/>
            <w:bookmarkStart w:id="149" w:name="_Toc32281"/>
            <w:r>
              <w:rPr>
                <w:rFonts w:hint="eastAsia" w:ascii="仿宋" w:hAnsi="仿宋" w:eastAsia="仿宋" w:cs="仿宋"/>
                <w:color w:val="auto"/>
                <w:kern w:val="0"/>
                <w:sz w:val="20"/>
                <w:szCs w:val="20"/>
                <w:shd w:val="clear" w:fill="FFFFFF"/>
                <w:vertAlign w:val="baseline"/>
                <w:lang w:val="en-US" w:eastAsia="zh-CN" w:bidi="ar"/>
              </w:rPr>
              <w:t>1台</w:t>
            </w:r>
            <w:bookmarkEnd w:id="148"/>
            <w:bookmarkEnd w:id="149"/>
          </w:p>
        </w:tc>
        <w:tc>
          <w:tcPr>
            <w:tcW w:w="1239"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50" w:name="_Toc2743"/>
            <w:bookmarkStart w:id="151" w:name="_Toc600"/>
            <w:r>
              <w:rPr>
                <w:rFonts w:hint="eastAsia" w:ascii="仿宋" w:hAnsi="仿宋" w:eastAsia="仿宋" w:cs="仿宋"/>
                <w:color w:val="auto"/>
                <w:kern w:val="0"/>
                <w:sz w:val="20"/>
                <w:szCs w:val="20"/>
                <w:shd w:val="clear" w:fill="FFFFFF"/>
                <w:vertAlign w:val="baseline"/>
                <w:lang w:val="en-US" w:eastAsia="zh-CN" w:bidi="ar"/>
              </w:rPr>
              <w:t>3</w:t>
            </w:r>
            <w:bookmarkEnd w:id="150"/>
            <w:bookmarkEnd w:id="151"/>
          </w:p>
        </w:tc>
        <w:tc>
          <w:tcPr>
            <w:tcW w:w="215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52" w:name="_Toc8018"/>
            <w:bookmarkStart w:id="153" w:name="_Toc28071"/>
            <w:r>
              <w:rPr>
                <w:rFonts w:hint="eastAsia" w:ascii="仿宋" w:hAnsi="仿宋" w:eastAsia="仿宋" w:cs="仿宋"/>
                <w:color w:val="auto"/>
                <w:kern w:val="0"/>
                <w:sz w:val="20"/>
                <w:szCs w:val="20"/>
                <w:shd w:val="clear" w:fill="FFFFFF"/>
                <w:vertAlign w:val="baseline"/>
                <w:lang w:val="en-US" w:eastAsia="zh-CN" w:bidi="ar"/>
              </w:rPr>
              <w:t>中点实训教室</w:t>
            </w:r>
            <w:bookmarkEnd w:id="152"/>
            <w:bookmarkEnd w:id="153"/>
          </w:p>
        </w:tc>
        <w:tc>
          <w:tcPr>
            <w:tcW w:w="106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54" w:name="_Toc16256"/>
            <w:bookmarkStart w:id="155" w:name="_Toc16459"/>
            <w:r>
              <w:rPr>
                <w:rFonts w:hint="eastAsia" w:ascii="仿宋" w:hAnsi="仿宋" w:eastAsia="仿宋" w:cs="仿宋"/>
                <w:color w:val="auto"/>
                <w:kern w:val="0"/>
                <w:sz w:val="20"/>
                <w:szCs w:val="20"/>
                <w:shd w:val="clear" w:fill="FFFFFF"/>
                <w:vertAlign w:val="baseline"/>
                <w:lang w:val="en-US" w:eastAsia="zh-CN" w:bidi="ar"/>
              </w:rPr>
              <w:t>30平</w:t>
            </w:r>
            <w:bookmarkEnd w:id="154"/>
            <w:bookmarkEnd w:id="155"/>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56" w:name="_Toc23253"/>
            <w:bookmarkStart w:id="157" w:name="_Toc13494"/>
            <w:r>
              <w:rPr>
                <w:rFonts w:hint="eastAsia" w:ascii="仿宋" w:hAnsi="仿宋" w:eastAsia="仿宋" w:cs="仿宋"/>
                <w:color w:val="auto"/>
                <w:kern w:val="0"/>
                <w:sz w:val="20"/>
                <w:szCs w:val="20"/>
                <w:shd w:val="clear" w:fill="FFFFFF"/>
                <w:vertAlign w:val="baseline"/>
                <w:lang w:val="en-US" w:eastAsia="zh-CN" w:bidi="ar"/>
              </w:rPr>
              <w:t>单炒单温灶</w:t>
            </w:r>
            <w:bookmarkEnd w:id="156"/>
            <w:bookmarkEnd w:id="15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58" w:name="_Toc12711"/>
            <w:bookmarkStart w:id="159" w:name="_Toc13927"/>
            <w:r>
              <w:rPr>
                <w:rFonts w:hint="eastAsia" w:ascii="仿宋" w:hAnsi="仿宋" w:eastAsia="仿宋" w:cs="仿宋"/>
                <w:color w:val="auto"/>
                <w:kern w:val="0"/>
                <w:sz w:val="20"/>
                <w:szCs w:val="20"/>
                <w:shd w:val="clear" w:fill="FFFFFF"/>
                <w:vertAlign w:val="baseline"/>
                <w:lang w:val="en-US" w:eastAsia="zh-CN" w:bidi="ar"/>
              </w:rPr>
              <w:t>4台</w:t>
            </w:r>
            <w:bookmarkEnd w:id="158"/>
            <w:bookmarkEnd w:id="159"/>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60" w:name="_Toc24691"/>
            <w:bookmarkStart w:id="161" w:name="_Toc9644"/>
            <w:r>
              <w:rPr>
                <w:rFonts w:hint="eastAsia" w:ascii="仿宋" w:hAnsi="仿宋" w:eastAsia="仿宋" w:cs="仿宋"/>
                <w:color w:val="auto"/>
                <w:kern w:val="0"/>
                <w:sz w:val="20"/>
                <w:szCs w:val="20"/>
                <w:shd w:val="clear" w:fill="FFFFFF"/>
                <w:vertAlign w:val="baseline"/>
                <w:lang w:val="en-US" w:eastAsia="zh-CN" w:bidi="ar"/>
              </w:rPr>
              <w:t>单星水槽</w:t>
            </w:r>
            <w:bookmarkEnd w:id="160"/>
            <w:bookmarkEnd w:id="16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62" w:name="_Toc28987"/>
            <w:bookmarkStart w:id="163" w:name="_Toc1860"/>
            <w:r>
              <w:rPr>
                <w:rFonts w:hint="eastAsia" w:ascii="仿宋" w:hAnsi="仿宋" w:eastAsia="仿宋" w:cs="仿宋"/>
                <w:color w:val="auto"/>
                <w:kern w:val="0"/>
                <w:sz w:val="20"/>
                <w:szCs w:val="20"/>
                <w:shd w:val="clear" w:fill="FFFFFF"/>
                <w:vertAlign w:val="baseline"/>
                <w:lang w:val="en-US" w:eastAsia="zh-CN" w:bidi="ar"/>
              </w:rPr>
              <w:t>2只</w:t>
            </w:r>
            <w:bookmarkEnd w:id="162"/>
            <w:bookmarkEnd w:id="163"/>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64" w:name="_Toc28407"/>
            <w:bookmarkStart w:id="165" w:name="_Toc652"/>
            <w:r>
              <w:rPr>
                <w:rFonts w:hint="eastAsia" w:ascii="仿宋" w:hAnsi="仿宋" w:eastAsia="仿宋" w:cs="仿宋"/>
                <w:color w:val="auto"/>
                <w:kern w:val="0"/>
                <w:sz w:val="20"/>
                <w:szCs w:val="20"/>
                <w:shd w:val="clear" w:fill="FFFFFF"/>
                <w:vertAlign w:val="baseline"/>
                <w:lang w:val="en-US" w:eastAsia="zh-CN" w:bidi="ar"/>
              </w:rPr>
              <w:t>操作台</w:t>
            </w:r>
            <w:bookmarkEnd w:id="164"/>
            <w:bookmarkEnd w:id="165"/>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66" w:name="_Toc604"/>
            <w:bookmarkStart w:id="167" w:name="_Toc29197"/>
            <w:r>
              <w:rPr>
                <w:rFonts w:hint="eastAsia" w:ascii="仿宋" w:hAnsi="仿宋" w:eastAsia="仿宋" w:cs="仿宋"/>
                <w:color w:val="auto"/>
                <w:kern w:val="0"/>
                <w:sz w:val="20"/>
                <w:szCs w:val="20"/>
                <w:shd w:val="clear" w:fill="FFFFFF"/>
                <w:vertAlign w:val="baseline"/>
                <w:lang w:val="en-US" w:eastAsia="zh-CN" w:bidi="ar"/>
              </w:rPr>
              <w:t>4只</w:t>
            </w:r>
            <w:bookmarkEnd w:id="166"/>
            <w:bookmarkEnd w:id="167"/>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68" w:name="_Toc11739"/>
            <w:bookmarkStart w:id="169" w:name="_Toc22754"/>
            <w:r>
              <w:rPr>
                <w:rFonts w:hint="eastAsia" w:ascii="仿宋" w:hAnsi="仿宋" w:eastAsia="仿宋" w:cs="仿宋"/>
                <w:color w:val="auto"/>
                <w:kern w:val="0"/>
                <w:sz w:val="20"/>
                <w:szCs w:val="20"/>
                <w:shd w:val="clear" w:fill="FFFFFF"/>
                <w:vertAlign w:val="baseline"/>
                <w:lang w:val="en-US" w:eastAsia="zh-CN" w:bidi="ar"/>
              </w:rPr>
              <w:t>压面机</w:t>
            </w:r>
            <w:bookmarkEnd w:id="168"/>
            <w:bookmarkEnd w:id="169"/>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70" w:name="_Toc15729"/>
            <w:bookmarkStart w:id="171" w:name="_Toc4769"/>
            <w:r>
              <w:rPr>
                <w:rFonts w:hint="eastAsia" w:ascii="仿宋" w:hAnsi="仿宋" w:eastAsia="仿宋" w:cs="仿宋"/>
                <w:color w:val="auto"/>
                <w:kern w:val="0"/>
                <w:sz w:val="20"/>
                <w:szCs w:val="20"/>
                <w:shd w:val="clear" w:fill="FFFFFF"/>
                <w:vertAlign w:val="baseline"/>
                <w:lang w:val="en-US" w:eastAsia="zh-CN" w:bidi="ar"/>
              </w:rPr>
              <w:t>1台</w:t>
            </w:r>
            <w:bookmarkEnd w:id="170"/>
            <w:bookmarkEnd w:id="171"/>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72" w:name="_Toc7970"/>
            <w:bookmarkStart w:id="173" w:name="_Toc24541"/>
            <w:r>
              <w:rPr>
                <w:rFonts w:hint="eastAsia" w:ascii="仿宋" w:hAnsi="仿宋" w:eastAsia="仿宋" w:cs="仿宋"/>
                <w:color w:val="auto"/>
                <w:kern w:val="0"/>
                <w:sz w:val="20"/>
                <w:szCs w:val="20"/>
                <w:shd w:val="clear" w:fill="FFFFFF"/>
                <w:vertAlign w:val="baseline"/>
                <w:lang w:val="en-US" w:eastAsia="zh-CN" w:bidi="ar"/>
              </w:rPr>
              <w:t>电饼铛</w:t>
            </w:r>
            <w:bookmarkEnd w:id="172"/>
            <w:bookmarkEnd w:id="17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74" w:name="_Toc30336"/>
            <w:bookmarkStart w:id="175" w:name="_Toc14165"/>
            <w:r>
              <w:rPr>
                <w:rFonts w:hint="eastAsia" w:ascii="仿宋" w:hAnsi="仿宋" w:eastAsia="仿宋" w:cs="仿宋"/>
                <w:color w:val="auto"/>
                <w:kern w:val="0"/>
                <w:sz w:val="20"/>
                <w:szCs w:val="20"/>
                <w:shd w:val="clear" w:fill="FFFFFF"/>
                <w:vertAlign w:val="baseline"/>
                <w:lang w:val="en-US" w:eastAsia="zh-CN" w:bidi="ar"/>
              </w:rPr>
              <w:t>1台</w:t>
            </w:r>
            <w:bookmarkEnd w:id="174"/>
            <w:bookmarkEnd w:id="175"/>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76" w:name="_Toc13514"/>
            <w:bookmarkStart w:id="177" w:name="_Toc9362"/>
            <w:r>
              <w:rPr>
                <w:rFonts w:hint="eastAsia" w:ascii="仿宋" w:hAnsi="仿宋" w:eastAsia="仿宋" w:cs="仿宋"/>
                <w:color w:val="auto"/>
                <w:kern w:val="0"/>
                <w:sz w:val="20"/>
                <w:szCs w:val="20"/>
                <w:shd w:val="clear" w:fill="FFFFFF"/>
                <w:vertAlign w:val="baseline"/>
                <w:lang w:val="en-US" w:eastAsia="zh-CN" w:bidi="ar"/>
              </w:rPr>
              <w:t>4</w:t>
            </w:r>
            <w:bookmarkEnd w:id="176"/>
            <w:bookmarkEnd w:id="177"/>
          </w:p>
        </w:tc>
        <w:tc>
          <w:tcPr>
            <w:tcW w:w="215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78" w:name="_Toc16733"/>
            <w:bookmarkStart w:id="179" w:name="_Toc11442"/>
            <w:r>
              <w:rPr>
                <w:rFonts w:hint="eastAsia" w:ascii="仿宋" w:hAnsi="仿宋" w:eastAsia="仿宋" w:cs="仿宋"/>
                <w:color w:val="auto"/>
                <w:kern w:val="0"/>
                <w:sz w:val="20"/>
                <w:szCs w:val="20"/>
                <w:shd w:val="clear" w:fill="FFFFFF"/>
                <w:vertAlign w:val="baseline"/>
                <w:lang w:val="en-US" w:eastAsia="zh-CN" w:bidi="ar"/>
              </w:rPr>
              <w:t>西点实训教室</w:t>
            </w:r>
            <w:bookmarkEnd w:id="178"/>
            <w:bookmarkEnd w:id="179"/>
          </w:p>
        </w:tc>
        <w:tc>
          <w:tcPr>
            <w:tcW w:w="106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80" w:name="_Toc27861"/>
            <w:bookmarkStart w:id="181" w:name="_Toc16170"/>
            <w:r>
              <w:rPr>
                <w:rFonts w:hint="eastAsia" w:ascii="仿宋" w:hAnsi="仿宋" w:eastAsia="仿宋" w:cs="仿宋"/>
                <w:color w:val="auto"/>
                <w:kern w:val="0"/>
                <w:sz w:val="20"/>
                <w:szCs w:val="20"/>
                <w:shd w:val="clear" w:fill="FFFFFF"/>
                <w:vertAlign w:val="baseline"/>
                <w:lang w:val="en-US" w:eastAsia="zh-CN" w:bidi="ar"/>
              </w:rPr>
              <w:t>30平</w:t>
            </w:r>
            <w:bookmarkEnd w:id="180"/>
            <w:bookmarkEnd w:id="181"/>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82" w:name="_Toc11688"/>
            <w:bookmarkStart w:id="183" w:name="_Toc2757"/>
            <w:r>
              <w:rPr>
                <w:rFonts w:hint="eastAsia" w:ascii="仿宋" w:hAnsi="仿宋" w:eastAsia="仿宋" w:cs="仿宋"/>
                <w:color w:val="auto"/>
                <w:kern w:val="0"/>
                <w:sz w:val="20"/>
                <w:szCs w:val="20"/>
                <w:shd w:val="clear" w:fill="FFFFFF"/>
                <w:vertAlign w:val="baseline"/>
                <w:lang w:val="en-US" w:eastAsia="zh-CN" w:bidi="ar"/>
              </w:rPr>
              <w:t>双层四盘烤箱</w:t>
            </w:r>
            <w:bookmarkEnd w:id="182"/>
            <w:bookmarkEnd w:id="18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84" w:name="_Toc21528"/>
            <w:bookmarkStart w:id="185" w:name="_Toc15663"/>
            <w:r>
              <w:rPr>
                <w:rFonts w:hint="eastAsia" w:ascii="仿宋" w:hAnsi="仿宋" w:eastAsia="仿宋" w:cs="仿宋"/>
                <w:color w:val="auto"/>
                <w:kern w:val="0"/>
                <w:sz w:val="20"/>
                <w:szCs w:val="20"/>
                <w:shd w:val="clear" w:fill="FFFFFF"/>
                <w:vertAlign w:val="baseline"/>
                <w:lang w:val="en-US" w:eastAsia="zh-CN" w:bidi="ar"/>
              </w:rPr>
              <w:t>1台</w:t>
            </w:r>
            <w:bookmarkEnd w:id="184"/>
            <w:bookmarkEnd w:id="185"/>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86" w:name="_Toc1413"/>
            <w:bookmarkStart w:id="187" w:name="_Toc5159"/>
            <w:r>
              <w:rPr>
                <w:rFonts w:hint="eastAsia" w:ascii="仿宋" w:hAnsi="仿宋" w:eastAsia="仿宋" w:cs="仿宋"/>
                <w:color w:val="auto"/>
                <w:kern w:val="0"/>
                <w:sz w:val="20"/>
                <w:szCs w:val="20"/>
                <w:shd w:val="clear" w:fill="FFFFFF"/>
                <w:vertAlign w:val="baseline"/>
                <w:lang w:val="en-US" w:eastAsia="zh-CN" w:bidi="ar"/>
              </w:rPr>
              <w:t>和面机</w:t>
            </w:r>
            <w:bookmarkEnd w:id="186"/>
            <w:bookmarkEnd w:id="18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88" w:name="_Toc28654"/>
            <w:bookmarkStart w:id="189" w:name="_Toc12178"/>
            <w:r>
              <w:rPr>
                <w:rFonts w:hint="eastAsia" w:ascii="仿宋" w:hAnsi="仿宋" w:eastAsia="仿宋" w:cs="仿宋"/>
                <w:color w:val="auto"/>
                <w:kern w:val="0"/>
                <w:sz w:val="20"/>
                <w:szCs w:val="20"/>
                <w:shd w:val="clear" w:fill="FFFFFF"/>
                <w:vertAlign w:val="baseline"/>
                <w:lang w:val="en-US" w:eastAsia="zh-CN" w:bidi="ar"/>
              </w:rPr>
              <w:t>1台</w:t>
            </w:r>
            <w:bookmarkEnd w:id="188"/>
            <w:bookmarkEnd w:id="189"/>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90" w:name="_Toc31609"/>
            <w:bookmarkStart w:id="191" w:name="_Toc11748"/>
            <w:r>
              <w:rPr>
                <w:rFonts w:hint="eastAsia" w:ascii="仿宋" w:hAnsi="仿宋" w:eastAsia="仿宋" w:cs="仿宋"/>
                <w:color w:val="auto"/>
                <w:kern w:val="0"/>
                <w:sz w:val="20"/>
                <w:szCs w:val="20"/>
                <w:shd w:val="clear" w:fill="FFFFFF"/>
                <w:vertAlign w:val="baseline"/>
                <w:lang w:val="en-US" w:eastAsia="zh-CN" w:bidi="ar"/>
              </w:rPr>
              <w:t>鲜奶机</w:t>
            </w:r>
            <w:bookmarkEnd w:id="190"/>
            <w:bookmarkEnd w:id="19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92" w:name="_Toc26150"/>
            <w:bookmarkStart w:id="193" w:name="_Toc27256"/>
            <w:r>
              <w:rPr>
                <w:rFonts w:hint="eastAsia" w:ascii="仿宋" w:hAnsi="仿宋" w:eastAsia="仿宋" w:cs="仿宋"/>
                <w:color w:val="auto"/>
                <w:kern w:val="0"/>
                <w:sz w:val="20"/>
                <w:szCs w:val="20"/>
                <w:shd w:val="clear" w:fill="FFFFFF"/>
                <w:vertAlign w:val="baseline"/>
                <w:lang w:val="en-US" w:eastAsia="zh-CN" w:bidi="ar"/>
              </w:rPr>
              <w:t>1台</w:t>
            </w:r>
            <w:bookmarkEnd w:id="192"/>
            <w:bookmarkEnd w:id="193"/>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94" w:name="_Toc24019"/>
            <w:bookmarkStart w:id="195" w:name="_Toc27107"/>
            <w:r>
              <w:rPr>
                <w:rFonts w:hint="eastAsia" w:ascii="仿宋" w:hAnsi="仿宋" w:eastAsia="仿宋" w:cs="仿宋"/>
                <w:color w:val="auto"/>
                <w:kern w:val="0"/>
                <w:sz w:val="20"/>
                <w:szCs w:val="20"/>
                <w:shd w:val="clear" w:fill="FFFFFF"/>
                <w:vertAlign w:val="baseline"/>
                <w:lang w:val="en-US" w:eastAsia="zh-CN" w:bidi="ar"/>
              </w:rPr>
              <w:t>醒发箱</w:t>
            </w:r>
            <w:bookmarkEnd w:id="194"/>
            <w:bookmarkEnd w:id="195"/>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96" w:name="_Toc22897"/>
            <w:bookmarkStart w:id="197" w:name="_Toc4176"/>
            <w:r>
              <w:rPr>
                <w:rFonts w:hint="eastAsia" w:ascii="仿宋" w:hAnsi="仿宋" w:eastAsia="仿宋" w:cs="仿宋"/>
                <w:color w:val="auto"/>
                <w:kern w:val="0"/>
                <w:sz w:val="20"/>
                <w:szCs w:val="20"/>
                <w:shd w:val="clear" w:fill="FFFFFF"/>
                <w:vertAlign w:val="baseline"/>
                <w:lang w:val="en-US" w:eastAsia="zh-CN" w:bidi="ar"/>
              </w:rPr>
              <w:t>1台</w:t>
            </w:r>
            <w:bookmarkEnd w:id="196"/>
            <w:bookmarkEnd w:id="197"/>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198" w:name="_Toc8846"/>
            <w:bookmarkStart w:id="199" w:name="_Toc24956"/>
            <w:r>
              <w:rPr>
                <w:rFonts w:hint="eastAsia" w:ascii="仿宋" w:hAnsi="仿宋" w:eastAsia="仿宋" w:cs="仿宋"/>
                <w:color w:val="auto"/>
                <w:kern w:val="0"/>
                <w:sz w:val="20"/>
                <w:szCs w:val="20"/>
                <w:shd w:val="clear" w:fill="FFFFFF"/>
                <w:vertAlign w:val="baseline"/>
                <w:lang w:val="en-US" w:eastAsia="zh-CN" w:bidi="ar"/>
              </w:rPr>
              <w:t>热水器</w:t>
            </w:r>
            <w:bookmarkEnd w:id="198"/>
            <w:bookmarkEnd w:id="199"/>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00" w:name="_Toc19447"/>
            <w:bookmarkStart w:id="201" w:name="_Toc9434"/>
            <w:r>
              <w:rPr>
                <w:rFonts w:hint="eastAsia" w:ascii="仿宋" w:hAnsi="仿宋" w:eastAsia="仿宋" w:cs="仿宋"/>
                <w:color w:val="auto"/>
                <w:kern w:val="0"/>
                <w:sz w:val="20"/>
                <w:szCs w:val="20"/>
                <w:shd w:val="clear" w:fill="FFFFFF"/>
                <w:vertAlign w:val="baseline"/>
                <w:lang w:val="en-US" w:eastAsia="zh-CN" w:bidi="ar"/>
              </w:rPr>
              <w:t>1台</w:t>
            </w:r>
            <w:bookmarkEnd w:id="200"/>
            <w:bookmarkEnd w:id="201"/>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02" w:name="_Toc7491"/>
            <w:bookmarkStart w:id="203" w:name="_Toc9135"/>
            <w:r>
              <w:rPr>
                <w:rFonts w:hint="eastAsia" w:ascii="仿宋" w:hAnsi="仿宋" w:eastAsia="仿宋" w:cs="仿宋"/>
                <w:color w:val="auto"/>
                <w:kern w:val="0"/>
                <w:sz w:val="20"/>
                <w:szCs w:val="20"/>
                <w:shd w:val="clear" w:fill="FFFFFF"/>
                <w:vertAlign w:val="baseline"/>
                <w:lang w:val="en-US" w:eastAsia="zh-CN" w:bidi="ar"/>
              </w:rPr>
              <w:t>消毒柜</w:t>
            </w:r>
            <w:bookmarkEnd w:id="202"/>
            <w:bookmarkEnd w:id="20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04" w:name="_Toc31249"/>
            <w:bookmarkStart w:id="205" w:name="_Toc14072"/>
            <w:r>
              <w:rPr>
                <w:rFonts w:hint="eastAsia" w:ascii="仿宋" w:hAnsi="仿宋" w:eastAsia="仿宋" w:cs="仿宋"/>
                <w:color w:val="auto"/>
                <w:kern w:val="0"/>
                <w:sz w:val="20"/>
                <w:szCs w:val="20"/>
                <w:shd w:val="clear" w:fill="FFFFFF"/>
                <w:vertAlign w:val="baseline"/>
                <w:lang w:val="en-US" w:eastAsia="zh-CN" w:bidi="ar"/>
              </w:rPr>
              <w:t>1只</w:t>
            </w:r>
            <w:bookmarkEnd w:id="204"/>
            <w:bookmarkEnd w:id="205"/>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06" w:name="_Toc7808"/>
            <w:bookmarkStart w:id="207" w:name="_Toc13624"/>
            <w:r>
              <w:rPr>
                <w:rFonts w:hint="eastAsia" w:ascii="仿宋" w:hAnsi="仿宋" w:eastAsia="仿宋" w:cs="仿宋"/>
                <w:color w:val="auto"/>
                <w:kern w:val="0"/>
                <w:sz w:val="20"/>
                <w:szCs w:val="20"/>
                <w:shd w:val="clear" w:fill="FFFFFF"/>
                <w:vertAlign w:val="baseline"/>
                <w:lang w:val="en-US" w:eastAsia="zh-CN" w:bidi="ar"/>
              </w:rPr>
              <w:t>不锈钢水池</w:t>
            </w:r>
            <w:bookmarkEnd w:id="206"/>
            <w:bookmarkEnd w:id="20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08" w:name="_Toc29093"/>
            <w:bookmarkStart w:id="209" w:name="_Toc25613"/>
            <w:r>
              <w:rPr>
                <w:rFonts w:hint="eastAsia" w:ascii="仿宋" w:hAnsi="仿宋" w:eastAsia="仿宋" w:cs="仿宋"/>
                <w:color w:val="auto"/>
                <w:kern w:val="0"/>
                <w:sz w:val="20"/>
                <w:szCs w:val="20"/>
                <w:shd w:val="clear" w:fill="FFFFFF"/>
                <w:vertAlign w:val="baseline"/>
                <w:lang w:val="en-US" w:eastAsia="zh-CN" w:bidi="ar"/>
              </w:rPr>
              <w:t>1只</w:t>
            </w:r>
            <w:bookmarkEnd w:id="208"/>
            <w:bookmarkEnd w:id="209"/>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10" w:name="_Toc9196"/>
            <w:bookmarkStart w:id="211" w:name="_Toc9506"/>
            <w:r>
              <w:rPr>
                <w:rFonts w:hint="eastAsia" w:ascii="仿宋" w:hAnsi="仿宋" w:eastAsia="仿宋" w:cs="仿宋"/>
                <w:color w:val="auto"/>
                <w:kern w:val="0"/>
                <w:sz w:val="20"/>
                <w:szCs w:val="20"/>
                <w:shd w:val="clear" w:fill="FFFFFF"/>
                <w:vertAlign w:val="baseline"/>
                <w:lang w:val="en-US" w:eastAsia="zh-CN" w:bidi="ar"/>
              </w:rPr>
              <w:t>储物架</w:t>
            </w:r>
            <w:bookmarkEnd w:id="210"/>
            <w:bookmarkEnd w:id="21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12" w:name="_Toc28116"/>
            <w:bookmarkStart w:id="213" w:name="_Toc28449"/>
            <w:r>
              <w:rPr>
                <w:rFonts w:hint="eastAsia" w:ascii="仿宋" w:hAnsi="仿宋" w:eastAsia="仿宋" w:cs="仿宋"/>
                <w:color w:val="auto"/>
                <w:kern w:val="0"/>
                <w:sz w:val="20"/>
                <w:szCs w:val="20"/>
                <w:shd w:val="clear" w:fill="FFFFFF"/>
                <w:vertAlign w:val="baseline"/>
                <w:lang w:val="en-US" w:eastAsia="zh-CN" w:bidi="ar"/>
              </w:rPr>
              <w:t>2只</w:t>
            </w:r>
            <w:bookmarkEnd w:id="212"/>
            <w:bookmarkEnd w:id="213"/>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14" w:name="_Toc20957"/>
            <w:bookmarkStart w:id="215" w:name="_Toc30678"/>
            <w:r>
              <w:rPr>
                <w:rFonts w:hint="eastAsia" w:ascii="仿宋" w:hAnsi="仿宋" w:eastAsia="仿宋" w:cs="仿宋"/>
                <w:color w:val="auto"/>
                <w:kern w:val="0"/>
                <w:sz w:val="20"/>
                <w:szCs w:val="20"/>
                <w:shd w:val="clear" w:fill="FFFFFF"/>
                <w:vertAlign w:val="baseline"/>
                <w:lang w:val="en-US" w:eastAsia="zh-CN" w:bidi="ar"/>
              </w:rPr>
              <w:t>不锈钢操作台</w:t>
            </w:r>
            <w:bookmarkEnd w:id="214"/>
            <w:bookmarkEnd w:id="215"/>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16" w:name="_Toc1424"/>
            <w:bookmarkStart w:id="217" w:name="_Toc11626"/>
            <w:r>
              <w:rPr>
                <w:rFonts w:hint="eastAsia" w:ascii="仿宋" w:hAnsi="仿宋" w:eastAsia="仿宋" w:cs="仿宋"/>
                <w:color w:val="auto"/>
                <w:kern w:val="0"/>
                <w:sz w:val="20"/>
                <w:szCs w:val="20"/>
                <w:shd w:val="clear" w:fill="FFFFFF"/>
                <w:vertAlign w:val="baseline"/>
                <w:lang w:val="en-US" w:eastAsia="zh-CN" w:bidi="ar"/>
              </w:rPr>
              <w:t>4只</w:t>
            </w:r>
            <w:bookmarkEnd w:id="216"/>
            <w:bookmarkEnd w:id="217"/>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18" w:name="_Toc12674"/>
            <w:bookmarkStart w:id="219" w:name="_Toc15487"/>
            <w:r>
              <w:rPr>
                <w:rFonts w:hint="eastAsia" w:ascii="仿宋" w:hAnsi="仿宋" w:eastAsia="仿宋" w:cs="仿宋"/>
                <w:color w:val="auto"/>
                <w:kern w:val="0"/>
                <w:sz w:val="20"/>
                <w:szCs w:val="20"/>
                <w:shd w:val="clear" w:fill="FFFFFF"/>
                <w:vertAlign w:val="baseline"/>
                <w:lang w:val="en-US" w:eastAsia="zh-CN" w:bidi="ar"/>
              </w:rPr>
              <w:t>电磁炉</w:t>
            </w:r>
            <w:bookmarkEnd w:id="218"/>
            <w:bookmarkEnd w:id="219"/>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20" w:name="_Toc3404"/>
            <w:bookmarkStart w:id="221" w:name="_Toc15087"/>
            <w:r>
              <w:rPr>
                <w:rFonts w:hint="eastAsia" w:ascii="仿宋" w:hAnsi="仿宋" w:eastAsia="仿宋" w:cs="仿宋"/>
                <w:color w:val="auto"/>
                <w:kern w:val="0"/>
                <w:sz w:val="20"/>
                <w:szCs w:val="20"/>
                <w:shd w:val="clear" w:fill="FFFFFF"/>
                <w:vertAlign w:val="baseline"/>
                <w:lang w:val="en-US" w:eastAsia="zh-CN" w:bidi="ar"/>
              </w:rPr>
              <w:t>1只</w:t>
            </w:r>
            <w:bookmarkEnd w:id="220"/>
            <w:bookmarkEnd w:id="221"/>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22" w:name="_Toc4342"/>
            <w:bookmarkStart w:id="223" w:name="_Toc14087"/>
            <w:r>
              <w:rPr>
                <w:rFonts w:hint="eastAsia" w:ascii="仿宋" w:hAnsi="仿宋" w:eastAsia="仿宋" w:cs="仿宋"/>
                <w:color w:val="auto"/>
                <w:kern w:val="0"/>
                <w:sz w:val="20"/>
                <w:szCs w:val="20"/>
                <w:shd w:val="clear" w:fill="FFFFFF"/>
                <w:vertAlign w:val="baseline"/>
                <w:lang w:val="en-US" w:eastAsia="zh-CN" w:bidi="ar"/>
              </w:rPr>
              <w:t>平冷</w:t>
            </w:r>
            <w:bookmarkEnd w:id="222"/>
            <w:bookmarkEnd w:id="22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24" w:name="_Toc23977"/>
            <w:bookmarkStart w:id="225" w:name="_Toc11941"/>
            <w:r>
              <w:rPr>
                <w:rFonts w:hint="eastAsia" w:ascii="仿宋" w:hAnsi="仿宋" w:eastAsia="仿宋" w:cs="仿宋"/>
                <w:color w:val="auto"/>
                <w:kern w:val="0"/>
                <w:sz w:val="20"/>
                <w:szCs w:val="20"/>
                <w:shd w:val="clear" w:fill="FFFFFF"/>
                <w:vertAlign w:val="baseline"/>
                <w:lang w:val="en-US" w:eastAsia="zh-CN" w:bidi="ar"/>
              </w:rPr>
              <w:t>1台</w:t>
            </w:r>
            <w:bookmarkEnd w:id="224"/>
            <w:bookmarkEnd w:id="225"/>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26" w:name="_Toc23083"/>
            <w:bookmarkStart w:id="227" w:name="_Toc19920"/>
            <w:r>
              <w:rPr>
                <w:rFonts w:hint="eastAsia" w:ascii="仿宋" w:hAnsi="仿宋" w:eastAsia="仿宋" w:cs="仿宋"/>
                <w:color w:val="auto"/>
                <w:kern w:val="0"/>
                <w:sz w:val="20"/>
                <w:szCs w:val="20"/>
                <w:shd w:val="clear" w:fill="FFFFFF"/>
                <w:vertAlign w:val="baseline"/>
                <w:lang w:val="en-US" w:eastAsia="zh-CN" w:bidi="ar"/>
              </w:rPr>
              <w:t>5</w:t>
            </w:r>
            <w:bookmarkEnd w:id="226"/>
            <w:bookmarkEnd w:id="227"/>
          </w:p>
        </w:tc>
        <w:tc>
          <w:tcPr>
            <w:tcW w:w="215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28" w:name="_Toc4099"/>
            <w:bookmarkStart w:id="229" w:name="_Toc28912"/>
            <w:r>
              <w:rPr>
                <w:rFonts w:hint="eastAsia" w:ascii="仿宋" w:hAnsi="仿宋" w:eastAsia="仿宋" w:cs="仿宋"/>
                <w:color w:val="auto"/>
                <w:kern w:val="0"/>
                <w:sz w:val="20"/>
                <w:szCs w:val="20"/>
                <w:shd w:val="clear" w:fill="FFFFFF"/>
                <w:vertAlign w:val="baseline"/>
                <w:lang w:val="en-US" w:eastAsia="zh-CN" w:bidi="ar"/>
              </w:rPr>
              <w:t>裱花教室</w:t>
            </w:r>
            <w:bookmarkEnd w:id="228"/>
            <w:bookmarkEnd w:id="229"/>
          </w:p>
        </w:tc>
        <w:tc>
          <w:tcPr>
            <w:tcW w:w="106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30" w:name="_Toc3483"/>
            <w:bookmarkStart w:id="231" w:name="_Toc13006"/>
            <w:r>
              <w:rPr>
                <w:rFonts w:hint="eastAsia" w:ascii="仿宋" w:hAnsi="仿宋" w:eastAsia="仿宋" w:cs="仿宋"/>
                <w:color w:val="auto"/>
                <w:kern w:val="0"/>
                <w:sz w:val="20"/>
                <w:szCs w:val="20"/>
                <w:shd w:val="clear" w:fill="FFFFFF"/>
                <w:vertAlign w:val="baseline"/>
                <w:lang w:val="en-US" w:eastAsia="zh-CN" w:bidi="ar"/>
              </w:rPr>
              <w:t>40平</w:t>
            </w:r>
            <w:bookmarkEnd w:id="230"/>
            <w:bookmarkEnd w:id="231"/>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32" w:name="_Toc27172"/>
            <w:bookmarkStart w:id="233" w:name="_Toc19878"/>
            <w:r>
              <w:rPr>
                <w:rFonts w:hint="eastAsia" w:ascii="仿宋" w:hAnsi="仿宋" w:eastAsia="仿宋" w:cs="仿宋"/>
                <w:color w:val="auto"/>
                <w:kern w:val="0"/>
                <w:sz w:val="20"/>
                <w:szCs w:val="20"/>
                <w:shd w:val="clear" w:fill="FFFFFF"/>
                <w:vertAlign w:val="baseline"/>
                <w:lang w:val="en-US" w:eastAsia="zh-CN" w:bidi="ar"/>
              </w:rPr>
              <w:t>台式鲜奶机</w:t>
            </w:r>
            <w:bookmarkEnd w:id="232"/>
            <w:bookmarkEnd w:id="233"/>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34" w:name="_Toc24305"/>
            <w:bookmarkStart w:id="235" w:name="_Toc4818"/>
            <w:r>
              <w:rPr>
                <w:rFonts w:hint="eastAsia" w:ascii="仿宋" w:hAnsi="仿宋" w:eastAsia="仿宋" w:cs="仿宋"/>
                <w:color w:val="auto"/>
                <w:kern w:val="0"/>
                <w:sz w:val="20"/>
                <w:szCs w:val="20"/>
                <w:shd w:val="clear" w:fill="FFFFFF"/>
                <w:vertAlign w:val="baseline"/>
                <w:lang w:val="en-US" w:eastAsia="zh-CN" w:bidi="ar"/>
              </w:rPr>
              <w:t>11台</w:t>
            </w:r>
            <w:bookmarkEnd w:id="234"/>
            <w:bookmarkEnd w:id="235"/>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36" w:name="_Toc7444"/>
            <w:bookmarkStart w:id="237" w:name="_Toc590"/>
            <w:r>
              <w:rPr>
                <w:rFonts w:hint="eastAsia" w:ascii="仿宋" w:hAnsi="仿宋" w:eastAsia="仿宋" w:cs="仿宋"/>
                <w:color w:val="auto"/>
                <w:kern w:val="0"/>
                <w:sz w:val="20"/>
                <w:szCs w:val="20"/>
                <w:shd w:val="clear" w:fill="FFFFFF"/>
                <w:vertAlign w:val="baseline"/>
                <w:lang w:val="en-US" w:eastAsia="zh-CN" w:bidi="ar"/>
              </w:rPr>
              <w:t>大理石操作台</w:t>
            </w:r>
            <w:bookmarkEnd w:id="236"/>
            <w:bookmarkEnd w:id="237"/>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38" w:name="_Toc23645"/>
            <w:bookmarkStart w:id="239" w:name="_Toc29681"/>
            <w:r>
              <w:rPr>
                <w:rFonts w:hint="eastAsia" w:ascii="仿宋" w:hAnsi="仿宋" w:eastAsia="仿宋" w:cs="仿宋"/>
                <w:color w:val="auto"/>
                <w:kern w:val="0"/>
                <w:sz w:val="20"/>
                <w:szCs w:val="20"/>
                <w:shd w:val="clear" w:fill="FFFFFF"/>
                <w:vertAlign w:val="baseline"/>
                <w:lang w:val="en-US" w:eastAsia="zh-CN" w:bidi="ar"/>
              </w:rPr>
              <w:t>11台</w:t>
            </w:r>
            <w:bookmarkEnd w:id="238"/>
            <w:bookmarkEnd w:id="239"/>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40" w:name="_Toc17820"/>
            <w:bookmarkStart w:id="241" w:name="_Toc25967"/>
            <w:r>
              <w:rPr>
                <w:rFonts w:hint="eastAsia" w:ascii="仿宋" w:hAnsi="仿宋" w:eastAsia="仿宋" w:cs="仿宋"/>
                <w:color w:val="auto"/>
                <w:kern w:val="0"/>
                <w:sz w:val="20"/>
                <w:szCs w:val="20"/>
                <w:shd w:val="clear" w:fill="FFFFFF"/>
                <w:vertAlign w:val="baseline"/>
                <w:lang w:val="en-US" w:eastAsia="zh-CN" w:bidi="ar"/>
              </w:rPr>
              <w:t>柜式空调</w:t>
            </w:r>
            <w:bookmarkEnd w:id="240"/>
            <w:bookmarkEnd w:id="24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42" w:name="_Toc6504"/>
            <w:bookmarkStart w:id="243" w:name="_Toc26688"/>
            <w:r>
              <w:rPr>
                <w:rFonts w:hint="eastAsia" w:ascii="仿宋" w:hAnsi="仿宋" w:eastAsia="仿宋" w:cs="仿宋"/>
                <w:color w:val="auto"/>
                <w:kern w:val="0"/>
                <w:sz w:val="20"/>
                <w:szCs w:val="20"/>
                <w:shd w:val="clear" w:fill="FFFFFF"/>
                <w:vertAlign w:val="baseline"/>
                <w:lang w:val="en-US" w:eastAsia="zh-CN" w:bidi="ar"/>
              </w:rPr>
              <w:t>2台</w:t>
            </w:r>
            <w:bookmarkEnd w:id="242"/>
            <w:bookmarkEnd w:id="243"/>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44" w:name="_Toc4386"/>
            <w:bookmarkStart w:id="245" w:name="_Toc10776"/>
            <w:r>
              <w:rPr>
                <w:rFonts w:hint="eastAsia" w:ascii="仿宋" w:hAnsi="仿宋" w:eastAsia="仿宋" w:cs="仿宋"/>
                <w:color w:val="auto"/>
                <w:kern w:val="0"/>
                <w:sz w:val="20"/>
                <w:szCs w:val="20"/>
                <w:shd w:val="clear" w:fill="FFFFFF"/>
                <w:vertAlign w:val="baseline"/>
                <w:lang w:val="en-US" w:eastAsia="zh-CN" w:bidi="ar"/>
              </w:rPr>
              <w:t>6</w:t>
            </w:r>
            <w:bookmarkEnd w:id="244"/>
            <w:bookmarkEnd w:id="245"/>
          </w:p>
        </w:tc>
        <w:tc>
          <w:tcPr>
            <w:tcW w:w="215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46" w:name="_Toc21817"/>
            <w:bookmarkStart w:id="247" w:name="_Toc11125"/>
            <w:r>
              <w:rPr>
                <w:rFonts w:hint="eastAsia" w:ascii="仿宋" w:hAnsi="仿宋" w:eastAsia="仿宋" w:cs="仿宋"/>
                <w:color w:val="auto"/>
                <w:kern w:val="0"/>
                <w:sz w:val="20"/>
                <w:szCs w:val="20"/>
                <w:shd w:val="clear" w:fill="FFFFFF"/>
                <w:vertAlign w:val="baseline"/>
                <w:lang w:val="en-US" w:eastAsia="zh-CN" w:bidi="ar"/>
              </w:rPr>
              <w:t>雕刻教室</w:t>
            </w:r>
            <w:bookmarkEnd w:id="246"/>
            <w:bookmarkEnd w:id="247"/>
          </w:p>
        </w:tc>
        <w:tc>
          <w:tcPr>
            <w:tcW w:w="1064"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48" w:name="_Toc30734"/>
            <w:bookmarkStart w:id="249" w:name="_Toc25253"/>
            <w:r>
              <w:rPr>
                <w:rFonts w:hint="eastAsia" w:ascii="仿宋" w:hAnsi="仿宋" w:eastAsia="仿宋" w:cs="仿宋"/>
                <w:color w:val="auto"/>
                <w:kern w:val="0"/>
                <w:sz w:val="20"/>
                <w:szCs w:val="20"/>
                <w:shd w:val="clear" w:fill="FFFFFF"/>
                <w:vertAlign w:val="baseline"/>
                <w:lang w:val="en-US" w:eastAsia="zh-CN" w:bidi="ar"/>
              </w:rPr>
              <w:t>40平</w:t>
            </w:r>
            <w:bookmarkEnd w:id="248"/>
            <w:bookmarkEnd w:id="249"/>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50" w:name="_Toc19088"/>
            <w:bookmarkStart w:id="251" w:name="_Toc84"/>
            <w:r>
              <w:rPr>
                <w:rFonts w:hint="eastAsia" w:ascii="仿宋" w:hAnsi="仿宋" w:eastAsia="仿宋" w:cs="仿宋"/>
                <w:color w:val="auto"/>
                <w:kern w:val="0"/>
                <w:sz w:val="20"/>
                <w:szCs w:val="20"/>
                <w:shd w:val="clear" w:fill="FFFFFF"/>
                <w:vertAlign w:val="baseline"/>
                <w:lang w:val="en-US" w:eastAsia="zh-CN" w:bidi="ar"/>
              </w:rPr>
              <w:t>不锈钢操作台</w:t>
            </w:r>
            <w:bookmarkEnd w:id="250"/>
            <w:bookmarkEnd w:id="25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52" w:name="_Toc19087"/>
            <w:bookmarkStart w:id="253" w:name="_Toc15583"/>
            <w:r>
              <w:rPr>
                <w:rFonts w:hint="eastAsia" w:ascii="仿宋" w:hAnsi="仿宋" w:eastAsia="仿宋" w:cs="仿宋"/>
                <w:color w:val="auto"/>
                <w:kern w:val="0"/>
                <w:sz w:val="20"/>
                <w:szCs w:val="20"/>
                <w:shd w:val="clear" w:fill="FFFFFF"/>
                <w:vertAlign w:val="baseline"/>
                <w:lang w:val="en-US" w:eastAsia="zh-CN" w:bidi="ar"/>
              </w:rPr>
              <w:t>11台</w:t>
            </w:r>
            <w:bookmarkEnd w:id="252"/>
            <w:bookmarkEnd w:id="253"/>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54" w:name="_Toc20503"/>
            <w:bookmarkStart w:id="255" w:name="_Toc17087"/>
            <w:r>
              <w:rPr>
                <w:rFonts w:hint="eastAsia" w:ascii="仿宋" w:hAnsi="仿宋" w:eastAsia="仿宋" w:cs="仿宋"/>
                <w:color w:val="auto"/>
                <w:kern w:val="0"/>
                <w:sz w:val="20"/>
                <w:szCs w:val="20"/>
                <w:shd w:val="clear" w:fill="FFFFFF"/>
                <w:vertAlign w:val="baseline"/>
                <w:lang w:val="en-US" w:eastAsia="zh-CN" w:bidi="ar"/>
              </w:rPr>
              <w:t>7</w:t>
            </w:r>
            <w:bookmarkEnd w:id="254"/>
            <w:bookmarkEnd w:id="255"/>
          </w:p>
        </w:tc>
        <w:tc>
          <w:tcPr>
            <w:tcW w:w="215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56" w:name="_Toc8471"/>
            <w:bookmarkStart w:id="257" w:name="_Toc21337"/>
            <w:r>
              <w:rPr>
                <w:rFonts w:hint="eastAsia" w:ascii="仿宋" w:hAnsi="仿宋" w:eastAsia="仿宋" w:cs="仿宋"/>
                <w:color w:val="auto"/>
                <w:kern w:val="0"/>
                <w:sz w:val="20"/>
                <w:szCs w:val="20"/>
                <w:shd w:val="clear" w:fill="FFFFFF"/>
                <w:vertAlign w:val="baseline"/>
                <w:lang w:val="en-US" w:eastAsia="zh-CN" w:bidi="ar"/>
              </w:rPr>
              <w:t>宴席大厅</w:t>
            </w:r>
            <w:bookmarkEnd w:id="256"/>
            <w:bookmarkEnd w:id="257"/>
          </w:p>
        </w:tc>
        <w:tc>
          <w:tcPr>
            <w:tcW w:w="1064" w:type="dxa"/>
            <w:vMerge w:val="restart"/>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58" w:name="_Toc20732"/>
            <w:bookmarkStart w:id="259" w:name="_Toc7820"/>
            <w:r>
              <w:rPr>
                <w:rFonts w:hint="eastAsia" w:ascii="仿宋" w:hAnsi="仿宋" w:eastAsia="仿宋" w:cs="仿宋"/>
                <w:color w:val="auto"/>
                <w:kern w:val="0"/>
                <w:sz w:val="20"/>
                <w:szCs w:val="20"/>
                <w:shd w:val="clear" w:fill="FFFFFF"/>
                <w:vertAlign w:val="baseline"/>
                <w:lang w:val="en-US" w:eastAsia="zh-CN" w:bidi="ar"/>
              </w:rPr>
              <w:t>40平</w:t>
            </w:r>
            <w:bookmarkEnd w:id="258"/>
            <w:bookmarkEnd w:id="259"/>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60" w:name="_Toc14572"/>
            <w:bookmarkStart w:id="261" w:name="_Toc25474"/>
            <w:r>
              <w:rPr>
                <w:rFonts w:hint="eastAsia" w:ascii="仿宋" w:hAnsi="仿宋" w:eastAsia="仿宋" w:cs="仿宋"/>
                <w:color w:val="auto"/>
                <w:kern w:val="0"/>
                <w:sz w:val="20"/>
                <w:szCs w:val="20"/>
                <w:shd w:val="clear" w:fill="FFFFFF"/>
                <w:vertAlign w:val="baseline"/>
                <w:lang w:val="en-US" w:eastAsia="zh-CN" w:bidi="ar"/>
              </w:rPr>
              <w:t>圆桌</w:t>
            </w:r>
            <w:bookmarkEnd w:id="260"/>
            <w:bookmarkEnd w:id="261"/>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62" w:name="_Toc20735"/>
            <w:bookmarkStart w:id="263" w:name="_Toc28817"/>
            <w:r>
              <w:rPr>
                <w:rFonts w:hint="eastAsia" w:ascii="仿宋" w:hAnsi="仿宋" w:eastAsia="仿宋" w:cs="仿宋"/>
                <w:color w:val="auto"/>
                <w:kern w:val="0"/>
                <w:sz w:val="20"/>
                <w:szCs w:val="20"/>
                <w:shd w:val="clear" w:fill="FFFFFF"/>
                <w:vertAlign w:val="baseline"/>
                <w:lang w:val="en-US" w:eastAsia="zh-CN" w:bidi="ar"/>
              </w:rPr>
              <w:t>2张</w:t>
            </w:r>
            <w:bookmarkEnd w:id="262"/>
            <w:bookmarkEnd w:id="263"/>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64" w:name="_Toc14779"/>
            <w:bookmarkStart w:id="265" w:name="_Toc463"/>
            <w:r>
              <w:rPr>
                <w:rFonts w:hint="eastAsia" w:ascii="仿宋" w:hAnsi="仿宋" w:eastAsia="仿宋" w:cs="仿宋"/>
                <w:color w:val="auto"/>
                <w:kern w:val="0"/>
                <w:sz w:val="20"/>
                <w:szCs w:val="20"/>
                <w:shd w:val="clear" w:fill="FFFFFF"/>
                <w:vertAlign w:val="baseline"/>
                <w:lang w:val="en-US" w:eastAsia="zh-CN" w:bidi="ar"/>
              </w:rPr>
              <w:t>转台</w:t>
            </w:r>
            <w:bookmarkEnd w:id="264"/>
            <w:bookmarkEnd w:id="265"/>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66" w:name="_Toc2612"/>
            <w:bookmarkStart w:id="267" w:name="_Toc16554"/>
            <w:r>
              <w:rPr>
                <w:rFonts w:hint="eastAsia" w:ascii="仿宋" w:hAnsi="仿宋" w:eastAsia="仿宋" w:cs="仿宋"/>
                <w:color w:val="auto"/>
                <w:kern w:val="0"/>
                <w:sz w:val="20"/>
                <w:szCs w:val="20"/>
                <w:shd w:val="clear" w:fill="FFFFFF"/>
                <w:vertAlign w:val="baseline"/>
                <w:lang w:val="en-US" w:eastAsia="zh-CN" w:bidi="ar"/>
              </w:rPr>
              <w:t>2只</w:t>
            </w:r>
            <w:bookmarkEnd w:id="266"/>
            <w:bookmarkEnd w:id="267"/>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r>
        <w:trPr>
          <w:jc w:val="center"/>
        </w:trPr>
        <w:tc>
          <w:tcPr>
            <w:tcW w:w="88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215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064"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c>
          <w:tcPr>
            <w:tcW w:w="17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68" w:name="_Toc20148"/>
            <w:bookmarkStart w:id="269" w:name="_Toc10822"/>
            <w:r>
              <w:rPr>
                <w:rFonts w:hint="eastAsia" w:ascii="仿宋" w:hAnsi="仿宋" w:eastAsia="仿宋" w:cs="仿宋"/>
                <w:color w:val="auto"/>
                <w:kern w:val="0"/>
                <w:sz w:val="20"/>
                <w:szCs w:val="20"/>
                <w:shd w:val="clear" w:fill="FFFFFF"/>
                <w:vertAlign w:val="baseline"/>
                <w:lang w:val="en-US" w:eastAsia="zh-CN" w:bidi="ar"/>
              </w:rPr>
              <w:t>椅子</w:t>
            </w:r>
            <w:bookmarkEnd w:id="268"/>
            <w:bookmarkEnd w:id="269"/>
          </w:p>
        </w:tc>
        <w:tc>
          <w:tcPr>
            <w:tcW w:w="147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bookmarkStart w:id="270" w:name="_Toc16683"/>
            <w:bookmarkStart w:id="271" w:name="_Toc7577"/>
            <w:r>
              <w:rPr>
                <w:rFonts w:hint="eastAsia" w:ascii="仿宋" w:hAnsi="仿宋" w:eastAsia="仿宋" w:cs="仿宋"/>
                <w:color w:val="auto"/>
                <w:kern w:val="0"/>
                <w:sz w:val="20"/>
                <w:szCs w:val="20"/>
                <w:shd w:val="clear" w:fill="FFFFFF"/>
                <w:vertAlign w:val="baseline"/>
                <w:lang w:val="en-US" w:eastAsia="zh-CN" w:bidi="ar"/>
              </w:rPr>
              <w:t>20只</w:t>
            </w:r>
            <w:bookmarkEnd w:id="270"/>
            <w:bookmarkEnd w:id="271"/>
          </w:p>
        </w:tc>
        <w:tc>
          <w:tcPr>
            <w:tcW w:w="1239"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p>
        </w:tc>
      </w:tr>
    </w:tbl>
    <w:p>
      <w:pPr>
        <w:keepNext w:val="0"/>
        <w:keepLines w:val="0"/>
        <w:pageBreakBefore w:val="0"/>
        <w:kinsoku/>
        <w:wordWrap/>
        <w:overflowPunct/>
        <w:topLinePunct w:val="0"/>
        <w:autoSpaceDE/>
        <w:autoSpaceDN/>
        <w:bidi w:val="0"/>
        <w:adjustRightInd/>
        <w:snapToGrid/>
        <w:spacing w:line="360" w:lineRule="auto"/>
        <w:ind w:firstLine="400" w:firstLineChars="200"/>
        <w:textAlignment w:val="auto"/>
        <w:outlineLvl w:val="0"/>
        <w:rPr>
          <w:rFonts w:hint="eastAsia" w:ascii="仿宋" w:hAnsi="仿宋" w:eastAsia="仿宋" w:cs="仿宋"/>
          <w:color w:val="auto"/>
          <w:kern w:val="0"/>
          <w:sz w:val="20"/>
          <w:szCs w:val="20"/>
          <w:shd w:val="clear" w:fill="FFFFFF"/>
          <w:lang w:val="en-US" w:eastAsia="zh-CN" w:bidi="ar"/>
        </w:rPr>
      </w:pPr>
      <w:r>
        <w:rPr>
          <w:rFonts w:hint="eastAsia" w:ascii="仿宋" w:hAnsi="仿宋" w:eastAsia="仿宋" w:cs="仿宋"/>
          <w:color w:val="auto"/>
          <w:kern w:val="0"/>
          <w:sz w:val="20"/>
          <w:szCs w:val="20"/>
          <w:shd w:val="clear" w:fill="FFFFFF"/>
          <w:lang w:val="en-US" w:eastAsia="zh-CN" w:bidi="ar"/>
        </w:rPr>
        <w:t>（3）校外实习基地</w:t>
      </w:r>
    </w:p>
    <w:tbl>
      <w:tblPr>
        <w:tblStyle w:val="4"/>
        <w:tblW w:w="85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5"/>
        <w:gridCol w:w="3656"/>
        <w:gridCol w:w="1621"/>
        <w:gridCol w:w="2523"/>
      </w:tblGrid>
      <w:tr>
        <w:trPr>
          <w:trHeight w:val="597" w:hRule="atLeast"/>
          <w:jc w:val="center"/>
        </w:trPr>
        <w:tc>
          <w:tcPr>
            <w:tcW w:w="7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序号</w:t>
            </w:r>
          </w:p>
        </w:tc>
        <w:tc>
          <w:tcPr>
            <w:tcW w:w="36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实训基地名称</w:t>
            </w:r>
          </w:p>
        </w:tc>
        <w:tc>
          <w:tcPr>
            <w:tcW w:w="16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功能定位</w:t>
            </w:r>
          </w:p>
        </w:tc>
        <w:tc>
          <w:tcPr>
            <w:tcW w:w="2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设备保障情况</w:t>
            </w:r>
          </w:p>
        </w:tc>
      </w:tr>
      <w:tr>
        <w:trPr>
          <w:trHeight w:val="597" w:hRule="atLeast"/>
          <w:jc w:val="center"/>
        </w:trPr>
        <w:tc>
          <w:tcPr>
            <w:tcW w:w="7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1</w:t>
            </w:r>
          </w:p>
        </w:tc>
        <w:tc>
          <w:tcPr>
            <w:tcW w:w="36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安徽同庆楼餐饮股份有限公司</w:t>
            </w:r>
          </w:p>
        </w:tc>
        <w:tc>
          <w:tcPr>
            <w:tcW w:w="16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顶岗实习</w:t>
            </w:r>
          </w:p>
        </w:tc>
        <w:tc>
          <w:tcPr>
            <w:tcW w:w="2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各类设施完善有保障</w:t>
            </w:r>
          </w:p>
        </w:tc>
      </w:tr>
      <w:tr>
        <w:trPr>
          <w:trHeight w:val="597" w:hRule="atLeast"/>
          <w:jc w:val="center"/>
        </w:trPr>
        <w:tc>
          <w:tcPr>
            <w:tcW w:w="7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2</w:t>
            </w:r>
          </w:p>
        </w:tc>
        <w:tc>
          <w:tcPr>
            <w:tcW w:w="36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合肥天鹅湖大酒店</w:t>
            </w:r>
          </w:p>
        </w:tc>
        <w:tc>
          <w:tcPr>
            <w:tcW w:w="16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顶岗实习</w:t>
            </w:r>
          </w:p>
        </w:tc>
        <w:tc>
          <w:tcPr>
            <w:tcW w:w="2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各类设施完善有保障</w:t>
            </w:r>
          </w:p>
        </w:tc>
      </w:tr>
      <w:tr>
        <w:trPr>
          <w:trHeight w:val="597" w:hRule="atLeast"/>
          <w:jc w:val="center"/>
        </w:trPr>
        <w:tc>
          <w:tcPr>
            <w:tcW w:w="7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3</w:t>
            </w:r>
          </w:p>
        </w:tc>
        <w:tc>
          <w:tcPr>
            <w:tcW w:w="36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云海肴（上海）餐饮管理有限公司</w:t>
            </w:r>
          </w:p>
        </w:tc>
        <w:tc>
          <w:tcPr>
            <w:tcW w:w="16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顶岗实习</w:t>
            </w:r>
          </w:p>
        </w:tc>
        <w:tc>
          <w:tcPr>
            <w:tcW w:w="2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各类设施完善有保障</w:t>
            </w:r>
          </w:p>
        </w:tc>
      </w:tr>
      <w:tr>
        <w:trPr>
          <w:trHeight w:val="616" w:hRule="atLeast"/>
          <w:jc w:val="center"/>
        </w:trPr>
        <w:tc>
          <w:tcPr>
            <w:tcW w:w="7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4</w:t>
            </w:r>
          </w:p>
        </w:tc>
        <w:tc>
          <w:tcPr>
            <w:tcW w:w="36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南京辛香汇餐饮管理有限公司</w:t>
            </w:r>
          </w:p>
        </w:tc>
        <w:tc>
          <w:tcPr>
            <w:tcW w:w="16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顶岗实习</w:t>
            </w:r>
          </w:p>
        </w:tc>
        <w:tc>
          <w:tcPr>
            <w:tcW w:w="2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各类设施完善有保障</w:t>
            </w:r>
          </w:p>
        </w:tc>
      </w:tr>
      <w:tr>
        <w:trPr>
          <w:trHeight w:val="616" w:hRule="atLeast"/>
          <w:jc w:val="center"/>
        </w:trPr>
        <w:tc>
          <w:tcPr>
            <w:tcW w:w="7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5</w:t>
            </w:r>
          </w:p>
        </w:tc>
        <w:tc>
          <w:tcPr>
            <w:tcW w:w="36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宁波市食遇餐饮管理有限公司</w:t>
            </w:r>
          </w:p>
        </w:tc>
        <w:tc>
          <w:tcPr>
            <w:tcW w:w="16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顶岗实习</w:t>
            </w:r>
          </w:p>
        </w:tc>
        <w:tc>
          <w:tcPr>
            <w:tcW w:w="2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各类设施完善有保障</w:t>
            </w:r>
          </w:p>
        </w:tc>
      </w:tr>
      <w:tr>
        <w:trPr>
          <w:trHeight w:val="616" w:hRule="atLeast"/>
          <w:jc w:val="center"/>
        </w:trPr>
        <w:tc>
          <w:tcPr>
            <w:tcW w:w="7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6</w:t>
            </w:r>
          </w:p>
        </w:tc>
        <w:tc>
          <w:tcPr>
            <w:tcW w:w="365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温州去茶去餐饮管理有限公司</w:t>
            </w:r>
          </w:p>
        </w:tc>
        <w:tc>
          <w:tcPr>
            <w:tcW w:w="162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顶岗实习</w:t>
            </w:r>
          </w:p>
        </w:tc>
        <w:tc>
          <w:tcPr>
            <w:tcW w:w="252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kern w:val="0"/>
                <w:sz w:val="20"/>
                <w:szCs w:val="20"/>
                <w:shd w:val="clear" w:fill="FFFFFF"/>
                <w:vertAlign w:val="baseline"/>
                <w:lang w:val="en-US" w:eastAsia="zh-CN" w:bidi="ar"/>
              </w:rPr>
            </w:pPr>
            <w:r>
              <w:rPr>
                <w:rFonts w:hint="eastAsia" w:ascii="仿宋" w:hAnsi="仿宋" w:eastAsia="仿宋" w:cs="仿宋"/>
                <w:color w:val="auto"/>
                <w:kern w:val="0"/>
                <w:sz w:val="20"/>
                <w:szCs w:val="20"/>
                <w:shd w:val="clear" w:fill="FFFFFF"/>
                <w:vertAlign w:val="baseline"/>
                <w:lang w:val="en-US" w:eastAsia="zh-CN" w:bidi="ar"/>
              </w:rPr>
              <w:t>各类设施完善有保障</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（三）教学资源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sz w:val="24"/>
          <w:szCs w:val="24"/>
        </w:rPr>
        <w:t>教学资源建设内容包括教材编写、学习情境设计、实训项目设计、实训指导书编写、</w:t>
      </w:r>
      <w:r>
        <w:rPr>
          <w:rFonts w:hint="eastAsia" w:ascii="仿宋" w:hAnsi="仿宋" w:eastAsia="仿宋" w:cs="仿宋"/>
          <w:sz w:val="24"/>
          <w:szCs w:val="24"/>
          <w:lang w:val="en-US" w:eastAsia="zh-Hans"/>
        </w:rPr>
        <w:t>中餐</w:t>
      </w:r>
      <w:r>
        <w:rPr>
          <w:rFonts w:hint="eastAsia" w:ascii="仿宋" w:hAnsi="仿宋" w:eastAsia="仿宋" w:cs="仿宋"/>
          <w:sz w:val="24"/>
          <w:szCs w:val="24"/>
        </w:rPr>
        <w:t>资料收集和整理、教学课件制作、仿真实训软件选购、专业教学资源库建设等。为方便教师教学及学生学习，专业可结合学校信息化建设发</w:t>
      </w:r>
      <w:r>
        <w:rPr>
          <w:rFonts w:hint="eastAsia" w:ascii="仿宋" w:hAnsi="仿宋" w:eastAsia="仿宋" w:cs="仿宋"/>
          <w:color w:val="auto"/>
          <w:sz w:val="24"/>
          <w:szCs w:val="24"/>
        </w:rPr>
        <w:t>展，依托自身和企业力量，共同开发实训指导教材、教学课件等教学资源。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教材选用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教材内容应体现先进性、通用性、实用性。要将本专业的新技术、新设备及时纳入教材，使教材更贴近本专业的发展和实际需要。将本专业不同课程内容的教学活动分解成若干典型的学习模块，按完成工作的需要和岗位操作规程，结合职业资格标准，组织教材内容。引入</w:t>
      </w:r>
      <w:r>
        <w:rPr>
          <w:rFonts w:hint="eastAsia" w:ascii="仿宋" w:hAnsi="仿宋" w:eastAsia="仿宋" w:cs="仿宋"/>
          <w:color w:val="auto"/>
          <w:sz w:val="24"/>
          <w:szCs w:val="24"/>
          <w:lang w:val="en-US" w:eastAsia="zh-Hans"/>
        </w:rPr>
        <w:t>中餐烹饪</w:t>
      </w:r>
      <w:r>
        <w:rPr>
          <w:rFonts w:hint="eastAsia" w:ascii="仿宋" w:hAnsi="仿宋" w:eastAsia="仿宋" w:cs="仿宋"/>
          <w:color w:val="auto"/>
          <w:sz w:val="24"/>
          <w:szCs w:val="24"/>
        </w:rPr>
        <w:t>专业所需技能所必须的理论知识，增加实践实操内容，强调理论在实践过程中的应用。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国家规定选用优质教材，坚决反对和杜绝使用盗版教材、盗印教材，绝不侵犯教材著作权。我校高度重视教材使用及管理工作，并成立教材管理委员会，出台教材教辅管理制度，根据教育部和省教育厅、人社厅有关文件要求，优先推广使用国家规划教材。按照教育部的规定及要求，保证公共基础课及思政课的课时，思政课及公共基础课严格按要求采用国家统一规划教材。专业课教材由本学部专业教师，教研人员，行业专家等组成专业课教材选用小组，由部长任组长、教学副部长任副组长，组织领导小组健全专业教材选用制度，优先从国家教材目录中选用教材，根据</w:t>
      </w:r>
      <w:r>
        <w:rPr>
          <w:rFonts w:hint="eastAsia" w:ascii="仿宋" w:hAnsi="仿宋" w:eastAsia="仿宋" w:cs="仿宋"/>
          <w:color w:val="auto"/>
          <w:sz w:val="24"/>
          <w:szCs w:val="24"/>
          <w:lang w:val="en-US" w:eastAsia="zh-Hans"/>
        </w:rPr>
        <w:t>中餐烹饪</w:t>
      </w:r>
      <w:r>
        <w:rPr>
          <w:rFonts w:hint="eastAsia" w:ascii="仿宋" w:hAnsi="仿宋" w:eastAsia="仿宋" w:cs="仿宋"/>
          <w:color w:val="auto"/>
          <w:sz w:val="24"/>
          <w:szCs w:val="24"/>
        </w:rPr>
        <w:t>行业发展，支持鼓励专业教师编制符合专业需求的校本教材。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图书文献配备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图书文献配备能满足人才培养、专业建设、教科研等工作需要，方便师生查询、借阅。图书文献配备能满足人才培养、专业建设、教科研等工作的需要，方便师生查询、借阅。专业类图书、文献包括</w:t>
      </w:r>
      <w:r>
        <w:rPr>
          <w:rFonts w:hint="eastAsia" w:ascii="仿宋" w:hAnsi="仿宋" w:eastAsia="仿宋" w:cs="仿宋"/>
          <w:color w:val="auto"/>
          <w:sz w:val="24"/>
          <w:szCs w:val="24"/>
          <w:lang w:val="en-US" w:eastAsia="zh-Hans"/>
        </w:rPr>
        <w:t>中餐烹饪</w:t>
      </w:r>
      <w:bookmarkStart w:id="272" w:name="_GoBack"/>
      <w:bookmarkEnd w:id="272"/>
      <w:r>
        <w:rPr>
          <w:rFonts w:hint="eastAsia" w:ascii="仿宋" w:hAnsi="仿宋" w:eastAsia="仿宋" w:cs="仿宋"/>
          <w:color w:val="auto"/>
          <w:sz w:val="24"/>
          <w:szCs w:val="24"/>
        </w:rPr>
        <w:t>专业方面的期刊、文献，维修手册等；为满足学生全面发展需求，包括文学、科技、自然科学、职业发展、法律等类型图书及文献，实时更新图书文献资料。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3.数字教学资源配置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配备与本专业有关的音视频素材、教学课件、微课、数字化教学案例库、虚拟仿真软件、数字教材等专业教学资源库，应种类丰富、形式多样、使用便捷、动态更新，能满足教学要求，且在本区域处于领先水平，核心课程资源条件成熟时形成在线开放课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（四）教学方法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课程教育目标服从专业培养目标，课程教学内容符合岗位工作标准，课程教学方法满足课程教学内容，课程教学手段服务于课程教学方法，素质教育贯穿于整个教育教学过程的原则，将课程内容分成不同的知识及能力模块，各模块按其内容对专业培养目标的支撑，分成认识、理解、操作、拓展等不同层次，应采用先进的教学模式，优化教学过程，加强实践教学，突出专业技能的项目训练，体现单项操作与综合实操相结合、理实一体教学不断统的特点。推广行动导向的教育教学模式，调整教学内容，在课程开发与教学实施上强调任务（岗位）导向，以工作任务为主线确定课程结构，以职业岗位最新标准和要求确定课程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在教学过程中，坚持“做、学、教”合一的原则，通过“理实一体化，</w:t>
      </w:r>
      <w:r>
        <w:rPr>
          <w:rFonts w:hint="eastAsia" w:ascii="仿宋" w:hAnsi="仿宋" w:eastAsia="仿宋" w:cs="仿宋"/>
          <w:color w:val="auto"/>
          <w:sz w:val="24"/>
          <w:szCs w:val="24"/>
          <w:lang w:val="en-US" w:eastAsia="zh-CN"/>
        </w:rPr>
        <w:t>教</w:t>
      </w:r>
      <w:r>
        <w:rPr>
          <w:rFonts w:hint="eastAsia" w:ascii="仿宋" w:hAnsi="仿宋" w:eastAsia="仿宋" w:cs="仿宋"/>
          <w:color w:val="auto"/>
          <w:sz w:val="24"/>
          <w:szCs w:val="24"/>
        </w:rPr>
        <w:t>学做一体化”的教学方法配套完整的教学教具实施教学，采用现场教学、现场示范教学、电化教学、讨论式教学、案例教学、项目驱动式教学和任务式教学等方法，灵活设计专业综合实训项目。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（五）学习评价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评价方面实行过程评价和考核评价相结合。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学评价应体现评价主体、评价方式、评价过程的多元化。要校内校外评价结合，学业考核与职业技能鉴定结合，教师评价、学生互评与自我评价相结合，过程性评价与结果性评价相结合。创新评价方式方法，既要关注学生对知识的理解和技能的掌握，更要关注运用知识在实践中解决实际问题的能力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要注重职业道德教育，构建学生、教师、家长、企业、社会广泛参与的学生综合素质评价体系；以过程性评价为导向，将学生日常学习态度、学习表现、知识技能运用纳入评价范围，形成日常学业水平测试、技能抽查等学业评价为主、期末考试考查为辅的过程性学业评价体系；以职业资格鉴定基础，将学业考核与职业资格鉴定相结合，允许用职业资格证或技能等级证替代一定的专业课程成绩；以企业职业岗位标准为参考依据，形成学校与企业专家共同参与学生企业顶岗实习环节的评价机制。要结合专业教学实际，确定期末考试考查课程，按学业成绩管理统一规定，制定各门课程成绩评价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（六）质量管理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学校和专业部应建立常态化教学质量诊断与改进机制，健全专业教学质量监控管理制度，完善课堂教学、教学评价、实习实训、毕业设计以及专业调研、人才培养方案更新、资源建设、队伍建设等方面质量标准建设，通过教学实施、过程监控、质量评价和持续改进，达成人才培养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教学管理是学校的中心工作，教学质量管理是教学管理的核心。为实现教学管理的程序化、规范化、科学化、信息化，教学管理部门要依据本专业人才培养方案，规范制定本专业实施性教学计划，并加强对各专业实施性教学计划执行的管理监督，严格按教学计划开设课程，统一公共基础课的教学要求，加强对教学过程的质量监控。实施中职公共基础课学生学业质量评价，积极开展技能抽查、学业水平测试、综合素质评价和毕业生质量跟踪调查等。要按照教育部关于建立职业院校教学工作诊断与改进制度的有关要求,全面开展教学诊断与改进工作，不断完善内部质量保证制度体系和运行机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学校积极推进学历证和职业资格证“双证书”制度。开展校企联合招生、联合培养的现代学徒制试点，推进校企一体化育人。学生校外实习要认真落实《中等职业学校学生实习管理办法》的规定和要求，制定本专业的学生实习管理实施办法，加强监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学校和专业部应完善教学管理机制，加强日常教学组织运行与管理，建立健全巡课、听课、评教、评学等制度。任课教师听课评课不少于10次；每学期应保证有20%教师开展公开课、示范课教学活动，新教师必须严格实行学“青蓝工程”，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5.学校应建立毕业生跟踪反馈机制及社会评价机制，并对生源情况、在校生学业水平、毕业生就业情况等进行分析，定期评价人才培养质量和培养目标达成情况，编制专业教学质量年度报告。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九、毕业要求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毕业要求是学生通过规定年限的学习，修满专业人才培养方案所规定的学分，达到本专业人才培养目标和培养规格的要求。本专业毕业要求为毕业学分不少于</w:t>
      </w:r>
      <w:r>
        <w:rPr>
          <w:rFonts w:hint="default" w:ascii="仿宋" w:hAnsi="仿宋" w:eastAsia="仿宋" w:cs="仿宋"/>
          <w:color w:val="auto"/>
          <w:sz w:val="24"/>
          <w:szCs w:val="24"/>
          <w:lang w:eastAsia="zh-CN"/>
        </w:rPr>
        <w:t>153</w:t>
      </w:r>
      <w:r>
        <w:rPr>
          <w:rFonts w:hint="default" w:ascii="仿宋" w:hAnsi="仿宋" w:eastAsia="仿宋" w:cs="仿宋"/>
          <w:color w:val="auto"/>
          <w:sz w:val="24"/>
          <w:szCs w:val="24"/>
          <w:lang w:val="en-US" w:eastAsia="zh-CN"/>
        </w:rPr>
        <w:t>学分，在校期间专业主干及核心课程必须达到及格要求。技能考核合格。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十、附录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附录1：教学总体安排表</w:t>
      </w:r>
    </w:p>
    <w:tbl>
      <w:tblPr>
        <w:tblStyle w:val="4"/>
        <w:tblW w:w="108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417"/>
        <w:gridCol w:w="616"/>
        <w:gridCol w:w="2217"/>
        <w:gridCol w:w="506"/>
        <w:gridCol w:w="510"/>
        <w:gridCol w:w="577"/>
        <w:gridCol w:w="439"/>
        <w:gridCol w:w="501"/>
        <w:gridCol w:w="723"/>
        <w:gridCol w:w="655"/>
        <w:gridCol w:w="580"/>
        <w:gridCol w:w="639"/>
        <w:gridCol w:w="600"/>
        <w:gridCol w:w="809"/>
      </w:tblGrid>
      <w:tr>
        <w:trPr>
          <w:trHeight w:val="620" w:hRule="atLeast"/>
          <w:jc w:val="center"/>
        </w:trPr>
        <w:tc>
          <w:tcPr>
            <w:tcW w:w="5000" w:type="pct"/>
            <w:gridSpan w:val="15"/>
            <w:tcBorders>
              <w:bottom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中餐烹饪专业（三年制）课程设置与教学进度表（中餐烹饪方向）</w:t>
            </w:r>
          </w:p>
        </w:tc>
      </w:tr>
      <w:tr>
        <w:trPr>
          <w:trHeight w:val="400" w:hRule="atLeast"/>
          <w:jc w:val="center"/>
        </w:trPr>
        <w:tc>
          <w:tcPr>
            <w:tcW w:w="469"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课程模块</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课程编码</w:t>
            </w:r>
          </w:p>
        </w:tc>
        <w:tc>
          <w:tcPr>
            <w:tcW w:w="285" w:type="pct"/>
            <w:vMerge w:val="restar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1506"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每学期教学周数及周学时分配</w:t>
            </w:r>
          </w:p>
        </w:tc>
        <w:tc>
          <w:tcPr>
            <w:tcW w:w="30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总学时</w:t>
            </w:r>
          </w:p>
        </w:tc>
        <w:tc>
          <w:tcPr>
            <w:tcW w:w="26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总学分</w:t>
            </w:r>
          </w:p>
        </w:tc>
        <w:tc>
          <w:tcPr>
            <w:tcW w:w="5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374"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vMerge w:val="continue"/>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第一学年</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第二学年</w:t>
            </w:r>
          </w:p>
        </w:tc>
        <w:tc>
          <w:tcPr>
            <w:tcW w:w="5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第三学年</w:t>
            </w:r>
          </w:p>
        </w:tc>
        <w:tc>
          <w:tcPr>
            <w:tcW w:w="3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6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74" w:type="pct"/>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vMerge w:val="continue"/>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30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6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9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考试</w:t>
            </w:r>
          </w:p>
        </w:tc>
        <w:tc>
          <w:tcPr>
            <w:tcW w:w="277"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考察</w:t>
            </w:r>
          </w:p>
        </w:tc>
        <w:tc>
          <w:tcPr>
            <w:tcW w:w="374" w:type="pct"/>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rPr>
          <w:trHeight w:val="400" w:hRule="atLeast"/>
          <w:jc w:val="center"/>
        </w:trPr>
        <w:tc>
          <w:tcPr>
            <w:tcW w:w="469"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德育课程体系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道德法律与生活</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心理健康与职业生涯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公共基础</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抽考评比科目</w:t>
            </w: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人文素养</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科学素养</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计算机基础</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公共基础课、德育课程合计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17</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14</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74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专业课程</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专业基础课</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面点原料知识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西点工艺与实训★</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中式面点技艺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现代厨房管理★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烹饪营养与安全★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菜单与宴席设计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旅游概论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旅游地理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普通话</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专业理论课程合计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第二课堂</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中餐烹饪基本功训练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restart"/>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集中阶段性授课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技能考核手册达标考核</w:t>
            </w: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中西式面点基本功训练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裱花基本功训练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西饼制作技术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蛋糕制作技术★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裱花蛋糕制作技术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中式面点制作★</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法式甜品制作</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甜品台设计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72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1+X证书项目</w:t>
            </w:r>
            <w:r>
              <w:rPr>
                <w:rFonts w:hint="eastAsia" w:ascii="宋体" w:hAnsi="宋体" w:eastAsia="宋体" w:cs="宋体"/>
                <w:i w:val="0"/>
                <w:iCs w:val="0"/>
                <w:color w:val="000000"/>
                <w:kern w:val="0"/>
                <w:sz w:val="20"/>
                <w:szCs w:val="20"/>
                <w:u w:val="none"/>
                <w:lang w:val="en-US" w:eastAsia="zh-CN" w:bidi="ar"/>
              </w:rPr>
              <w:br w:type="textWrapping"/>
            </w:r>
            <w:r>
              <w:rPr>
                <w:rStyle w:val="9"/>
                <w:lang w:val="en-US" w:eastAsia="zh-CN" w:bidi="ar"/>
              </w:rPr>
              <w:t>三选二</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p>
            <w:pPr>
              <w:bidi w:val="0"/>
              <w:jc w:val="left"/>
              <w:rPr>
                <w:rFonts w:hint="eastAsia"/>
                <w:lang w:val="en-US" w:eastAsia="zh-CN"/>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4"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72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专业综合技能训练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（或跟岗实习）</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4"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中式烹调师、中式面点师、西式面点师</w:t>
            </w: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专业实训课程合计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rPr>
          <w:trHeight w:val="400" w:hRule="atLeast"/>
          <w:jc w:val="center"/>
        </w:trPr>
        <w:tc>
          <w:tcPr>
            <w:tcW w:w="469"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专业理论、实训课程合计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16</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16</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9</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1420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71</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r>
      <w:tr>
        <w:trPr>
          <w:trHeight w:val="400" w:hRule="atLeast"/>
          <w:jc w:val="center"/>
        </w:trPr>
        <w:tc>
          <w:tcPr>
            <w:tcW w:w="662" w:type="pct"/>
            <w:gridSpan w:val="2"/>
            <w:vMerge w:val="restart"/>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集中实践</w:t>
            </w:r>
          </w:p>
        </w:tc>
        <w:tc>
          <w:tcPr>
            <w:tcW w:w="285" w:type="pc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6"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见习（周）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662" w:type="pct"/>
            <w:gridSpan w:val="2"/>
            <w:vMerge w:val="continue"/>
            <w:tcBorders>
              <w:top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1973" w:type="pct"/>
            <w:gridSpan w:val="4"/>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语数外（加课）</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1973" w:type="pct"/>
            <w:gridSpan w:val="4"/>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班会/校会</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74"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1973" w:type="pct"/>
            <w:gridSpan w:val="4"/>
            <w:tcBorders>
              <w:top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总计</w:t>
            </w:r>
          </w:p>
        </w:tc>
        <w:tc>
          <w:tcPr>
            <w:tcW w:w="23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23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267"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203"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w:t>
            </w:r>
          </w:p>
        </w:tc>
        <w:tc>
          <w:tcPr>
            <w:tcW w:w="231"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33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303"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3100</w:t>
            </w:r>
          </w:p>
        </w:tc>
        <w:tc>
          <w:tcPr>
            <w:tcW w:w="26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153</w:t>
            </w:r>
          </w:p>
        </w:tc>
        <w:tc>
          <w:tcPr>
            <w:tcW w:w="295"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277"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374" w:type="pct"/>
            <w:tcBorders>
              <w:top w:val="single" w:color="000000" w:sz="4" w:space="0"/>
              <w:lef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r>
    </w:tbl>
    <w:p>
      <w:pPr>
        <w:rPr>
          <w:rFonts w:hint="eastAsia" w:ascii="仿宋" w:hAnsi="仿宋" w:eastAsia="仿宋" w:cs="仿宋"/>
          <w:sz w:val="24"/>
          <w:szCs w:val="24"/>
          <w:lang w:val="en-US" w:eastAsia="zh-CN"/>
        </w:rPr>
      </w:pPr>
    </w:p>
    <w:tbl>
      <w:tblPr>
        <w:tblStyle w:val="4"/>
        <w:tblW w:w="63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7"/>
        <w:gridCol w:w="417"/>
        <w:gridCol w:w="617"/>
        <w:gridCol w:w="2216"/>
        <w:gridCol w:w="506"/>
        <w:gridCol w:w="511"/>
        <w:gridCol w:w="567"/>
        <w:gridCol w:w="450"/>
        <w:gridCol w:w="450"/>
        <w:gridCol w:w="567"/>
        <w:gridCol w:w="817"/>
        <w:gridCol w:w="817"/>
        <w:gridCol w:w="617"/>
        <w:gridCol w:w="617"/>
        <w:gridCol w:w="617"/>
      </w:tblGrid>
      <w:tr>
        <w:trPr>
          <w:trHeight w:val="620" w:hRule="atLeast"/>
          <w:jc w:val="center"/>
        </w:trPr>
        <w:tc>
          <w:tcPr>
            <w:tcW w:w="5000" w:type="pct"/>
            <w:gridSpan w:val="15"/>
            <w:tcBorders>
              <w:bottom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中餐烹饪专业（三年制）课程设置与教学进度表（中西面点方向）</w:t>
            </w:r>
          </w:p>
        </w:tc>
      </w:tr>
      <w:tr>
        <w:trPr>
          <w:trHeight w:val="400" w:hRule="atLeast"/>
          <w:jc w:val="center"/>
        </w:trPr>
        <w:tc>
          <w:tcPr>
            <w:tcW w:w="470"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课程模块</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课程编码</w:t>
            </w:r>
          </w:p>
        </w:tc>
        <w:tc>
          <w:tcPr>
            <w:tcW w:w="285" w:type="pct"/>
            <w:vMerge w:val="restar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141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每学期教学周数及周学时分配</w:t>
            </w:r>
          </w:p>
        </w:tc>
        <w:tc>
          <w:tcPr>
            <w:tcW w:w="37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总学时</w:t>
            </w:r>
          </w:p>
        </w:tc>
        <w:tc>
          <w:tcPr>
            <w:tcW w:w="37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总学分</w:t>
            </w:r>
          </w:p>
        </w:tc>
        <w:tc>
          <w:tcPr>
            <w:tcW w:w="5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课程性质</w:t>
            </w:r>
          </w:p>
        </w:tc>
        <w:tc>
          <w:tcPr>
            <w:tcW w:w="285" w:type="pct"/>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rPr>
          <w:trHeight w:val="373"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vMerge w:val="continue"/>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0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第一学年</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第二学年</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第三学年</w:t>
            </w:r>
          </w:p>
        </w:tc>
        <w:tc>
          <w:tcPr>
            <w:tcW w:w="37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85" w:type="pct"/>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vMerge w:val="continue"/>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0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37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37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考试</w:t>
            </w:r>
          </w:p>
        </w:tc>
        <w:tc>
          <w:tcPr>
            <w:tcW w:w="28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考察</w:t>
            </w:r>
          </w:p>
        </w:tc>
        <w:tc>
          <w:tcPr>
            <w:tcW w:w="285" w:type="pct"/>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rPr>
          <w:trHeight w:val="400" w:hRule="atLeast"/>
          <w:jc w:val="center"/>
        </w:trPr>
        <w:tc>
          <w:tcPr>
            <w:tcW w:w="470" w:type="pct"/>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德育课程体系</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道德法律与生活</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心理健康与职业生涯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公共基础</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抽考评比科目</w:t>
            </w: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人文素养</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科学素养</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公共基础课、德育课程合计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1480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72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专业课程</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专业基础课</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面点原料知识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西点工艺与实训★</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中式面点技艺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现代厨房管理★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烹饪营养与安全★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菜单与宴席设计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旅游概论</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旅游地理</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专业理论课程合计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第二课堂</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中餐烹饪基本功训练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restart"/>
            <w:tcBorders>
              <w:top w:val="nil"/>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集中阶段性授课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技能考核手册达标考核</w:t>
            </w: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中西式面点基本功训练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裱花基本功训练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西饼制作技术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蛋糕制作技术★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裱花蛋糕制作技术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面包制作技术★</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中式面点制作★</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法式甜品制作</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甜品台设计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72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1+X证书项目</w:t>
            </w:r>
            <w:r>
              <w:rPr>
                <w:rFonts w:hint="eastAsia" w:ascii="宋体" w:hAnsi="宋体" w:eastAsia="宋体" w:cs="宋体"/>
                <w:i w:val="0"/>
                <w:iCs w:val="0"/>
                <w:color w:val="000000"/>
                <w:kern w:val="0"/>
                <w:sz w:val="20"/>
                <w:szCs w:val="20"/>
                <w:u w:val="none"/>
                <w:lang w:val="en-US" w:eastAsia="zh-CN" w:bidi="ar"/>
              </w:rPr>
              <w:br w:type="textWrapping"/>
            </w:r>
            <w:r>
              <w:rPr>
                <w:rStyle w:val="10"/>
                <w:lang w:val="en-US" w:eastAsia="zh-CN" w:bidi="ar"/>
              </w:rPr>
              <w:t>三选二</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vMerge w:val="continue"/>
            <w:tcBorders>
              <w:top w:val="nil"/>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72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93"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专业综合技能训练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（或跟岗实习）</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85" w:type="pc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中式烹调师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中式面点师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西式面点师</w:t>
            </w: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专业实训课程合计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1040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52</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rPr>
          <w:trHeight w:val="400" w:hRule="atLeast"/>
          <w:jc w:val="center"/>
        </w:trPr>
        <w:tc>
          <w:tcPr>
            <w:tcW w:w="470" w:type="pct"/>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专业理论、实训课程合计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16</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16</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1460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73</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r>
      <w:tr>
        <w:trPr>
          <w:trHeight w:val="400" w:hRule="atLeast"/>
          <w:jc w:val="center"/>
        </w:trPr>
        <w:tc>
          <w:tcPr>
            <w:tcW w:w="663" w:type="pct"/>
            <w:gridSpan w:val="2"/>
            <w:vMerge w:val="restart"/>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集中实践</w:t>
            </w:r>
          </w:p>
        </w:tc>
        <w:tc>
          <w:tcPr>
            <w:tcW w:w="285" w:type="pc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0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见习（周）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663" w:type="pct"/>
            <w:gridSpan w:val="2"/>
            <w:vMerge w:val="continue"/>
            <w:tcBorders>
              <w:top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实习（周）</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1974" w:type="pct"/>
            <w:gridSpan w:val="4"/>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语数外（加课）</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1974" w:type="pct"/>
            <w:gridSpan w:val="4"/>
            <w:tcBorders>
              <w:top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班会/校会</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5" w:type="pct"/>
            <w:tcBorders>
              <w:top w:val="single" w:color="000000" w:sz="4" w:space="0"/>
              <w:left w:val="single" w:color="000000" w:sz="4" w:space="0"/>
              <w:bottom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rPr>
          <w:trHeight w:val="400" w:hRule="atLeast"/>
          <w:jc w:val="center"/>
        </w:trPr>
        <w:tc>
          <w:tcPr>
            <w:tcW w:w="1974" w:type="pct"/>
            <w:gridSpan w:val="4"/>
            <w:tcBorders>
              <w:top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总计</w:t>
            </w:r>
          </w:p>
        </w:tc>
        <w:tc>
          <w:tcPr>
            <w:tcW w:w="234"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236"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262"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20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0</w:t>
            </w:r>
          </w:p>
        </w:tc>
        <w:tc>
          <w:tcPr>
            <w:tcW w:w="209"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261"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32</w:t>
            </w:r>
          </w:p>
        </w:tc>
        <w:tc>
          <w:tcPr>
            <w:tcW w:w="37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3100</w:t>
            </w:r>
          </w:p>
        </w:tc>
        <w:tc>
          <w:tcPr>
            <w:tcW w:w="37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0"/>
                <w:szCs w:val="20"/>
                <w:u w:val="none"/>
              </w:rPr>
            </w:pPr>
            <w:r>
              <w:rPr>
                <w:rFonts w:hint="eastAsia" w:ascii="宋体" w:hAnsi="宋体" w:eastAsia="宋体" w:cs="宋体"/>
                <w:b/>
                <w:bCs/>
                <w:i w:val="0"/>
                <w:iCs w:val="0"/>
                <w:color w:val="FF0000"/>
                <w:kern w:val="0"/>
                <w:sz w:val="20"/>
                <w:szCs w:val="20"/>
                <w:u w:val="none"/>
                <w:lang w:val="en-US" w:eastAsia="zh-CN" w:bidi="ar"/>
              </w:rPr>
              <w:t>153</w:t>
            </w:r>
          </w:p>
        </w:tc>
        <w:tc>
          <w:tcPr>
            <w:tcW w:w="285"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285"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c>
          <w:tcPr>
            <w:tcW w:w="285" w:type="pct"/>
            <w:tcBorders>
              <w:top w:val="single" w:color="000000" w:sz="4" w:space="0"/>
              <w:left w:val="single" w:color="000000" w:sz="4" w:space="0"/>
            </w:tcBorders>
            <w:shd w:val="clear" w:color="auto" w:fill="auto"/>
            <w:noWrap/>
            <w:vAlign w:val="center"/>
          </w:tcPr>
          <w:p>
            <w:pPr>
              <w:rPr>
                <w:rFonts w:hint="eastAsia" w:ascii="宋体" w:hAnsi="宋体" w:eastAsia="宋体" w:cs="宋体"/>
                <w:b/>
                <w:bCs/>
                <w:i w:val="0"/>
                <w:iCs w:val="0"/>
                <w:color w:val="FF0000"/>
                <w:sz w:val="20"/>
                <w:szCs w:val="20"/>
                <w:u w:val="none"/>
              </w:rPr>
            </w:pPr>
          </w:p>
        </w:tc>
      </w:tr>
    </w:tbl>
    <w:p>
      <w:pPr>
        <w:jc w:val="left"/>
        <w:rPr>
          <w:rFonts w:hint="eastAsia" w:ascii="仿宋" w:hAnsi="仿宋" w:eastAsia="仿宋" w:cs="仿宋"/>
          <w:sz w:val="24"/>
          <w:szCs w:val="24"/>
          <w:lang w:val="en-US" w:eastAsia="zh-CN"/>
        </w:rPr>
      </w:pP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附录2：编制依据</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1.习近平总书记就加快发展职业教育作出的重要批示（2014年6月）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2.习近平总书记在全国教育大会上的重要讲话（2018年9月）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3.习近平总书记在学校思想政治理论课教师座谈会上的重要讲话（2019年3月）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4.习近平总书记对职业教育工作作出重要指示（2021年4月13日）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5.孙春兰副总理关于办好新时代职业教育的重要讲话（2019年5月）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6.国家中长期教育改革和发展规划纲要（2010-2020年）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7.《国务院关于印发国家职业教育改革实施方案的通知》（国发（2019）4号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8.《中共中央国务院关于全面深化新时代教师队伍建设改革的意见》（2018年1月）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9.《国务院关于加快发展现代职业教育的决定》（国发（2014）19号）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10.《国务院办公厅关于深化高等学校创新创业教育改革的实施意见》（国办发（2015）36号）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11.《国务院关于推动创新创业高质量发展打造“双创”升级版的意见》（国发（2018）32号）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12.《国务院办公厅关于深化产教融合的若干意见》（国办发（2017）95号）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13.中共中央办公厅国务院院办公厅印发《关于推动现代职业教育高质量发展的意见》（2021.10.12）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14.教育部等六部门关于印发《职业学校校企合作促进办法》的通知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15.《国务院关于加快发展现代职业教育的决定》国发（2014）19号15.教育部关于印发《教育信息化2.0行动计划》的通知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16.教育部关于印发《中等职业学校政治、语文、历史课程标准全面落实立德树人根本任务》的通知（教育部（2020.02））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17.《教育部等八部门关于印发《职业学校学生实习管理规定》的通知》（教职成（2021）4号）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18.《教育部关于深化职业教育教学改革全面提高人才培养质量的若干意见》（教职成（2015）6号）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19.《教育部关于职业院校专业人才培养方案制订与实施工作的指导意见》</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20.中宣部、教育部《新时代学校思想政治理论课改革创新实施方案》（教材（2020）6号）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21.《教育部、安徽省人民政府关于整省推进职业教育一体化高质量发展加快技能安徽建设意见》</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22.《中等职业教育新旧专业对照表》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23.《职业教育专业目录（2021年）》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24.《中华人民共和国职业分类大典》</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25.《中华人民共和国职业教育法》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embedRegular r:id="rId1" w:fontKey="{1FCCD004-7354-3DED-BEA8-9F6465D9683B}"/>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公文小标宋">
    <w:panose1 w:val="02000500000000000000"/>
    <w:charset w:val="86"/>
    <w:family w:val="auto"/>
    <w:pitch w:val="default"/>
    <w:sig w:usb0="00000000" w:usb1="00000000" w:usb2="00000000" w:usb3="00000000" w:csb0="00040000" w:csb1="00000000"/>
    <w:embedRegular r:id="rId2" w:fontKey="{DBD51A4E-9835-E659-BEA8-9F6436212A54}"/>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仿宋简体">
    <w:altName w:val="方正仿宋_GBK"/>
    <w:panose1 w:val="02010601030101010101"/>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33EA5"/>
    <w:multiLevelType w:val="singleLevel"/>
    <w:tmpl w:val="09833EA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NzM4M2JhZGRhMjU3MmEyNzI2NTI5NGQ3ZjE1MDEifQ=="/>
  </w:docVars>
  <w:rsids>
    <w:rsidRoot w:val="226235AA"/>
    <w:rsid w:val="02C72207"/>
    <w:rsid w:val="09C771CC"/>
    <w:rsid w:val="0AE71698"/>
    <w:rsid w:val="0B330D82"/>
    <w:rsid w:val="0DFA9A58"/>
    <w:rsid w:val="11545D82"/>
    <w:rsid w:val="14755F67"/>
    <w:rsid w:val="18EB67F8"/>
    <w:rsid w:val="1E322A50"/>
    <w:rsid w:val="1E9A4DCF"/>
    <w:rsid w:val="20520045"/>
    <w:rsid w:val="226235AA"/>
    <w:rsid w:val="25DF2B3E"/>
    <w:rsid w:val="29562602"/>
    <w:rsid w:val="2C26606D"/>
    <w:rsid w:val="2C3F0EDD"/>
    <w:rsid w:val="2E052F94"/>
    <w:rsid w:val="2F234757"/>
    <w:rsid w:val="31B5579D"/>
    <w:rsid w:val="31D40319"/>
    <w:rsid w:val="33615BDC"/>
    <w:rsid w:val="337376BE"/>
    <w:rsid w:val="340842AA"/>
    <w:rsid w:val="36DD557A"/>
    <w:rsid w:val="3A9F4FB4"/>
    <w:rsid w:val="3AE23430"/>
    <w:rsid w:val="472E3BD0"/>
    <w:rsid w:val="4BA206E8"/>
    <w:rsid w:val="4F0A0A7E"/>
    <w:rsid w:val="4F554DBC"/>
    <w:rsid w:val="50857CB3"/>
    <w:rsid w:val="514A5AAA"/>
    <w:rsid w:val="54A454D1"/>
    <w:rsid w:val="57413CDA"/>
    <w:rsid w:val="578B89DE"/>
    <w:rsid w:val="5F6BC85D"/>
    <w:rsid w:val="67F3434E"/>
    <w:rsid w:val="6BED022C"/>
    <w:rsid w:val="6E1658C0"/>
    <w:rsid w:val="70853FB1"/>
    <w:rsid w:val="721808E0"/>
    <w:rsid w:val="78E8332F"/>
    <w:rsid w:val="799F60E4"/>
    <w:rsid w:val="7F0D1D41"/>
    <w:rsid w:val="7FAF4BA7"/>
    <w:rsid w:val="7FB91994"/>
    <w:rsid w:val="7FDE5764"/>
    <w:rsid w:val="7FFF7605"/>
    <w:rsid w:val="FFFFB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00"/>
    </w:pPr>
    <w:rPr>
      <w:sz w:val="28"/>
      <w:szCs w:val="28"/>
    </w:rPr>
  </w:style>
  <w:style w:type="paragraph" w:styleId="3">
    <w:name w:val="Body Text First Indent"/>
    <w:basedOn w:val="2"/>
    <w:qFormat/>
    <w:uiPriority w:val="0"/>
    <w:pPr>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spacing w:line="321" w:lineRule="exact"/>
    </w:pPr>
    <w:rPr>
      <w:rFonts w:ascii="宋体" w:hAnsi="宋体" w:eastAsia="宋体" w:cs="宋体"/>
      <w:sz w:val="20"/>
      <w:szCs w:val="2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after="100" w:line="343" w:lineRule="auto"/>
    </w:pPr>
    <w:rPr>
      <w:rFonts w:ascii="宋体" w:hAnsi="宋体" w:eastAsia="宋体" w:cs="宋体"/>
      <w:sz w:val="28"/>
      <w:szCs w:val="28"/>
      <w:u w:val="none"/>
      <w:shd w:val="clear" w:color="auto" w:fill="auto"/>
      <w:lang w:val="zh-TW" w:eastAsia="zh-TW" w:bidi="zh-TW"/>
    </w:rPr>
  </w:style>
  <w:style w:type="character" w:customStyle="1" w:styleId="9">
    <w:name w:val="font81"/>
    <w:basedOn w:val="6"/>
    <w:uiPriority w:val="0"/>
    <w:rPr>
      <w:rFonts w:hint="eastAsia" w:ascii="宋体" w:hAnsi="宋体" w:eastAsia="宋体" w:cs="宋体"/>
      <w:color w:val="FF0000"/>
      <w:sz w:val="20"/>
      <w:szCs w:val="20"/>
      <w:u w:val="none"/>
    </w:rPr>
  </w:style>
  <w:style w:type="character" w:customStyle="1" w:styleId="10">
    <w:name w:val="font01"/>
    <w:basedOn w:val="6"/>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5887</Words>
  <Characters>5978</Characters>
  <Lines>0</Lines>
  <Paragraphs>0</Paragraphs>
  <TotalTime>12</TotalTime>
  <ScaleCrop>false</ScaleCrop>
  <LinksUpToDate>false</LinksUpToDate>
  <CharactersWithSpaces>5989</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2022-12-06T22:39:00Z</dcterms:created>
  <dc:creator>wpp</dc:creator>
  <cp:lastModifiedBy>恬大恬</cp:lastModifiedBy>
  <dcterms:modified xsi:type="dcterms:W3CDTF">2023-07-01T12:17:02Z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4A324B8EB37A4999936DC6CCF5376CF9</vt:lpwstr>
  </property>
</Properties>
</file>